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自贡市残疾人联合会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2022</w:t>
      </w:r>
      <w:r>
        <w:rPr>
          <w:rFonts w:hint="eastAsia" w:ascii="方正小标宋简体" w:eastAsia="方正小标宋简体"/>
          <w:sz w:val="44"/>
          <w:szCs w:val="44"/>
        </w:rPr>
        <w:t>年度部门决算编制的说明</w:t>
      </w:r>
    </w:p>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10"/>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3</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28</w:t>
      </w:r>
      <w:r>
        <w:rPr>
          <w:rFonts w:hint="eastAsia" w:ascii="仿宋_GB2312" w:eastAsia="仿宋_GB2312"/>
          <w:i w:val="0"/>
          <w:color w:val="auto"/>
          <w:sz w:val="32"/>
        </w:rPr>
        <w:t>日</w:t>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_Toc8227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第一部分 部门概况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_Toc8227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_Toc28837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w:t>
      </w:r>
      <w:r>
        <w:rPr>
          <w:rFonts w:hint="eastAsia" w:ascii="仿宋_GB2312" w:hAnsi="仿宋_GB2312" w:eastAsia="仿宋_GB2312" w:cs="仿宋_GB2312"/>
          <w:b w:val="0"/>
          <w:bCs w:val="0"/>
          <w:i w:val="0"/>
          <w:iCs w:val="0"/>
          <w:sz w:val="32"/>
          <w:szCs w:val="32"/>
          <w:highlight w:val="none"/>
          <w:lang w:eastAsia="zh-CN"/>
        </w:rPr>
        <w:t>部门职责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_Toc28837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_Toc17184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_Toc17184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_Toc1303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第二部分 202</w:t>
      </w: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i w:val="0"/>
          <w:iCs w:val="0"/>
          <w:sz w:val="32"/>
          <w:szCs w:val="32"/>
        </w:rPr>
        <w:t>年度部门决算情况说明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_Toc1303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_Toc17065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_Toc17065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_Toc12413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_Toc12413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_Toc8342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_Toc8342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_Toc23551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_Toc23551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_Toc31388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_Toc31388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_Toc19233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_Toc19233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_Toc31714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_Toc31714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_Toc12385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_Toc12385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_Toc30095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_Toc30095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_Toc6447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_Toc6447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_Toc17220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7</w:t>
      </w:r>
    </w:p>
    <w:p>
      <w:pPr>
        <w:pStyle w:val="10"/>
        <w:tabs>
          <w:tab w:val="right" w:leader="dot" w:pos="8306"/>
        </w:tabs>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_Toc31444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3</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3</w:t>
      </w:r>
      <w:bookmarkStart w:id="84" w:name="_GoBack"/>
      <w:bookmarkEnd w:id="84"/>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_Toc5286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_Toc5286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_Toc8158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_Toc8158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_Toc26012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_Toc26012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_Toc31249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_Toc31249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_Toc7317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_Toc7317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_Toc6515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_Toc6515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_Toc26497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_Toc26497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_Toc28654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_Toc28654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_Toc10409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_Toc10409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 w:val="0"/>
          <w:bCs w:val="0"/>
          <w:i w:val="0"/>
          <w:iCs w:val="0"/>
          <w:caps/>
          <w:sz w:val="32"/>
          <w:szCs w:val="32"/>
        </w:rPr>
        <w:fldChar w:fldCharType="end"/>
      </w:r>
    </w:p>
    <w:p>
      <w:pPr>
        <w:pStyle w:val="5"/>
        <w:jc w:val="center"/>
        <w:rPr>
          <w:rFonts w:hint="eastAsia" w:ascii="黑体" w:hAnsi="黑体" w:eastAsia="黑体"/>
          <w:b w:val="0"/>
        </w:rPr>
        <w:sectPr>
          <w:pgSz w:w="11906" w:h="16838"/>
          <w:pgMar w:top="1440" w:right="1800" w:bottom="1440" w:left="1800" w:header="851" w:footer="992" w:gutter="0"/>
          <w:cols w:space="425" w:num="1"/>
          <w:docGrid w:type="lines" w:linePitch="312" w:charSpace="0"/>
        </w:sectPr>
      </w:pPr>
    </w:p>
    <w:p>
      <w:pPr>
        <w:pStyle w:val="5"/>
        <w:jc w:val="center"/>
        <w:rPr>
          <w:rStyle w:val="17"/>
          <w:rFonts w:ascii="黑体" w:hAnsi="黑体" w:eastAsia="黑体"/>
          <w:b/>
          <w:bCs w:val="0"/>
        </w:rPr>
      </w:pPr>
      <w:bookmarkStart w:id="0" w:name="_Toc8227"/>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0"/>
    </w:p>
    <w:p>
      <w:pPr>
        <w:pStyle w:val="6"/>
        <w:rPr>
          <w:rStyle w:val="18"/>
          <w:rFonts w:ascii="仿宋" w:hAnsi="仿宋" w:eastAsia="仿宋"/>
          <w:b w:val="0"/>
          <w:bCs w:val="0"/>
        </w:rPr>
      </w:pPr>
      <w:bookmarkStart w:id="1" w:name="_Toc15377197"/>
      <w:bookmarkStart w:id="2" w:name="_Toc15396600"/>
      <w:bookmarkStart w:id="3" w:name="_Toc28837"/>
      <w:r>
        <w:rPr>
          <w:rFonts w:hint="eastAsia" w:ascii="黑体" w:hAnsi="黑体" w:eastAsia="黑体"/>
          <w:b w:val="0"/>
          <w:color w:val="000000"/>
        </w:rPr>
        <w:t>一、</w:t>
      </w:r>
      <w:bookmarkEnd w:id="1"/>
      <w:bookmarkEnd w:id="2"/>
      <w:r>
        <w:rPr>
          <w:rFonts w:hint="eastAsia" w:ascii="黑体" w:hAnsi="黑体" w:eastAsia="黑体"/>
          <w:b w:val="0"/>
          <w:color w:val="auto"/>
          <w:highlight w:val="none"/>
          <w:lang w:eastAsia="zh-CN"/>
        </w:rPr>
        <w:t>部门职责</w:t>
      </w:r>
      <w:bookmarkEnd w:id="3"/>
    </w:p>
    <w:p>
      <w:pPr>
        <w:bidi w:val="0"/>
        <w:ind w:firstLine="640" w:firstLineChars="200"/>
      </w:pPr>
      <w:r>
        <w:rPr>
          <w:rFonts w:hint="eastAsia"/>
        </w:rPr>
        <w:t>自贡市残疾人联合会（简称市残联）是市政府批准的全市残疾人事业团体，是中国残疾人联合会的地方组织。它是由全市各类残疾人的代表和残疾人工作者组成，既代表残疾人的共同利益，维护残疾人的合法权益，又为残疾人服务，同时承担政府委托的任务，动员社会力量，推进残疾人事业。主要职责包括适应社会主义现代化建设的需要，发展残疾人事业。动员社会发扬人道主义精神，理解、尊重、关心、帮助残疾人，促进残疾人平等参与社会生活；鼓励残疾人坚持爱国主义和乐观主义，自尊、自信、自强、自立，为社会主义建设贡献力量。</w:t>
      </w:r>
    </w:p>
    <w:p>
      <w:pPr>
        <w:pStyle w:val="6"/>
        <w:rPr>
          <w:rStyle w:val="18"/>
          <w:b w:val="0"/>
          <w:bCs w:val="0"/>
        </w:rPr>
      </w:pPr>
      <w:bookmarkStart w:id="4" w:name="_Toc17184"/>
      <w:bookmarkStart w:id="5" w:name="_Toc15396601"/>
      <w:bookmarkStart w:id="6"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4"/>
      <w:bookmarkEnd w:id="5"/>
      <w:bookmarkEnd w:id="6"/>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eastAsia="仿宋_GB2312" w:cs="仿宋_GB2312"/>
          <w:kern w:val="0"/>
          <w:sz w:val="32"/>
          <w:szCs w:val="32"/>
        </w:rPr>
      </w:pPr>
      <w:r>
        <w:rPr>
          <w:rFonts w:hint="eastAsia" w:cs="仿宋_GB2312"/>
          <w:kern w:val="0"/>
          <w:sz w:val="32"/>
          <w:szCs w:val="32"/>
          <w:lang w:eastAsia="zh-CN"/>
        </w:rPr>
        <w:t>自贡市残疾人联合会</w:t>
      </w:r>
      <w:r>
        <w:rPr>
          <w:rFonts w:hint="eastAsia" w:eastAsia="仿宋_GB2312" w:cs="仿宋_GB2312"/>
          <w:kern w:val="0"/>
          <w:sz w:val="32"/>
          <w:szCs w:val="32"/>
        </w:rPr>
        <w:t>下属二级单位</w:t>
      </w:r>
      <w:r>
        <w:rPr>
          <w:rFonts w:hint="eastAsia" w:cs="仿宋_GB2312"/>
          <w:kern w:val="0"/>
          <w:sz w:val="32"/>
          <w:szCs w:val="32"/>
          <w:lang w:val="en-US" w:eastAsia="zh-CN"/>
        </w:rPr>
        <w:t>2</w:t>
      </w:r>
      <w:r>
        <w:rPr>
          <w:rFonts w:hint="eastAsia" w:eastAsia="仿宋_GB2312" w:cs="仿宋_GB2312"/>
          <w:kern w:val="0"/>
          <w:sz w:val="32"/>
          <w:szCs w:val="32"/>
        </w:rPr>
        <w:t>个，其中行政单位</w:t>
      </w:r>
      <w:r>
        <w:rPr>
          <w:rFonts w:eastAsia="仿宋_GB2312"/>
          <w:kern w:val="0"/>
          <w:sz w:val="32"/>
          <w:szCs w:val="32"/>
        </w:rPr>
        <w:t>0</w:t>
      </w:r>
      <w:r>
        <w:rPr>
          <w:rFonts w:hint="eastAsia" w:eastAsia="仿宋_GB2312" w:cs="仿宋_GB2312"/>
          <w:kern w:val="0"/>
          <w:sz w:val="32"/>
          <w:szCs w:val="32"/>
        </w:rPr>
        <w:t>个，参照公务员法管理的事业单位</w:t>
      </w:r>
      <w:r>
        <w:rPr>
          <w:rFonts w:eastAsia="仿宋_GB2312"/>
          <w:kern w:val="0"/>
          <w:sz w:val="32"/>
          <w:szCs w:val="32"/>
        </w:rPr>
        <w:t>1</w:t>
      </w:r>
      <w:r>
        <w:rPr>
          <w:rFonts w:hint="eastAsia" w:eastAsia="仿宋_GB2312" w:cs="仿宋_GB2312"/>
          <w:kern w:val="0"/>
          <w:sz w:val="32"/>
          <w:szCs w:val="32"/>
        </w:rPr>
        <w:t>个，其他事业单位</w:t>
      </w:r>
      <w:r>
        <w:rPr>
          <w:rFonts w:hint="eastAsia" w:cs="仿宋_GB2312"/>
          <w:kern w:val="0"/>
          <w:sz w:val="32"/>
          <w:szCs w:val="32"/>
          <w:lang w:val="en-US" w:eastAsia="zh-CN"/>
        </w:rPr>
        <w:t>1</w:t>
      </w:r>
      <w:r>
        <w:rPr>
          <w:rFonts w:hint="eastAsia" w:eastAsia="仿宋_GB2312" w:cs="仿宋_GB2312"/>
          <w:kern w:val="0"/>
          <w:sz w:val="32"/>
          <w:szCs w:val="32"/>
        </w:rPr>
        <w:t>个。</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r>
        <w:rPr>
          <w:rFonts w:hint="eastAsia" w:eastAsia="仿宋_GB2312" w:cs="仿宋_GB2312"/>
          <w:kern w:val="0"/>
          <w:sz w:val="32"/>
          <w:szCs w:val="32"/>
        </w:rPr>
        <w:t>纳入</w:t>
      </w:r>
      <w:r>
        <w:rPr>
          <w:rFonts w:hint="eastAsia" w:cs="仿宋_GB2312"/>
          <w:kern w:val="0"/>
          <w:sz w:val="32"/>
          <w:szCs w:val="32"/>
          <w:lang w:eastAsia="zh-CN"/>
        </w:rPr>
        <w:t>自贡市残疾人联合会</w:t>
      </w:r>
      <w:r>
        <w:rPr>
          <w:rFonts w:eastAsia="仿宋_GB2312"/>
          <w:kern w:val="0"/>
          <w:sz w:val="32"/>
          <w:szCs w:val="32"/>
        </w:rPr>
        <w:t>20</w:t>
      </w:r>
      <w:r>
        <w:rPr>
          <w:rFonts w:hint="eastAsia"/>
          <w:kern w:val="0"/>
          <w:sz w:val="32"/>
          <w:szCs w:val="32"/>
          <w:lang w:val="en-US" w:eastAsia="zh-CN"/>
        </w:rPr>
        <w:t>21</w:t>
      </w:r>
      <w:r>
        <w:rPr>
          <w:rFonts w:hint="eastAsia" w:eastAsia="仿宋_GB2312" w:cs="仿宋_GB2312"/>
          <w:kern w:val="0"/>
          <w:sz w:val="32"/>
          <w:szCs w:val="32"/>
        </w:rPr>
        <w:t>年度部门决算编制范围的二级预算单位包括：</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lang w:eastAsia="zh-CN"/>
        </w:rPr>
      </w:pPr>
      <w:r>
        <w:rPr>
          <w:rFonts w:hint="eastAsia" w:cs="仿宋_GB2312"/>
          <w:kern w:val="0"/>
          <w:sz w:val="32"/>
          <w:szCs w:val="32"/>
          <w:lang w:val="en-US" w:eastAsia="zh-CN"/>
        </w:rPr>
        <w:t>1.</w:t>
      </w:r>
      <w:r>
        <w:rPr>
          <w:rFonts w:hint="eastAsia" w:eastAsia="仿宋_GB2312" w:cs="仿宋_GB2312"/>
          <w:kern w:val="0"/>
          <w:sz w:val="32"/>
          <w:szCs w:val="32"/>
        </w:rPr>
        <w:t>自贡市残疾人联合会</w:t>
      </w:r>
      <w:r>
        <w:rPr>
          <w:rFonts w:hint="eastAsia" w:eastAsia="仿宋_GB2312" w:cs="仿宋_GB2312"/>
          <w:kern w:val="0"/>
          <w:sz w:val="32"/>
          <w:szCs w:val="32"/>
          <w:lang w:eastAsia="zh-CN"/>
        </w:rPr>
        <w:t>（本级）</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r>
        <w:rPr>
          <w:rFonts w:hint="eastAsia" w:cs="仿宋_GB2312"/>
          <w:kern w:val="0"/>
          <w:sz w:val="32"/>
          <w:szCs w:val="32"/>
          <w:lang w:val="en-US" w:eastAsia="zh-CN"/>
        </w:rPr>
        <w:t>2.</w:t>
      </w:r>
      <w:r>
        <w:rPr>
          <w:rFonts w:hint="eastAsia" w:eastAsia="仿宋_GB2312" w:cs="仿宋_GB2312"/>
          <w:kern w:val="0"/>
          <w:sz w:val="32"/>
          <w:szCs w:val="32"/>
        </w:rPr>
        <w:t>自贡市残疾人综合服务中心</w:t>
      </w:r>
    </w:p>
    <w:p>
      <w:pPr>
        <w:widowControl/>
        <w:jc w:val="left"/>
        <w:rPr>
          <w:rFonts w:ascii="仿宋" w:hAnsi="仿宋" w:eastAsia="仿宋"/>
          <w:color w:val="000000"/>
          <w:kern w:val="0"/>
          <w:sz w:val="32"/>
          <w:szCs w:val="32"/>
        </w:rPr>
      </w:pPr>
    </w:p>
    <w:p>
      <w:pPr>
        <w:pStyle w:val="5"/>
        <w:ind w:right="440"/>
        <w:jc w:val="right"/>
      </w:pPr>
      <w:bookmarkStart w:id="7" w:name="_Toc15377204"/>
      <w:bookmarkStart w:id="8" w:name="_Toc15396602"/>
      <w:bookmarkStart w:id="9" w:name="_Toc1303"/>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w:t>
      </w:r>
      <w:r>
        <w:rPr>
          <w:rStyle w:val="17"/>
          <w:rFonts w:hint="eastAsia" w:ascii="黑体" w:hAnsi="黑体" w:eastAsia="黑体"/>
          <w:b w:val="0"/>
          <w:bCs w:val="0"/>
          <w:lang w:val="en-US" w:eastAsia="zh-CN"/>
        </w:rPr>
        <w:t>2</w:t>
      </w:r>
      <w:r>
        <w:rPr>
          <w:rStyle w:val="17"/>
          <w:rFonts w:hint="eastAsia" w:ascii="黑体" w:hAnsi="黑体" w:eastAsia="黑体"/>
          <w:b w:val="0"/>
          <w:bCs w:val="0"/>
        </w:rPr>
        <w:t>年度部门决算情况说明</w:t>
      </w:r>
      <w:bookmarkEnd w:id="7"/>
      <w:bookmarkEnd w:id="8"/>
      <w:bookmarkEnd w:id="9"/>
    </w:p>
    <w:p>
      <w:pPr>
        <w:pStyle w:val="19"/>
        <w:numPr>
          <w:ilvl w:val="0"/>
          <w:numId w:val="1"/>
        </w:numPr>
        <w:spacing w:line="600" w:lineRule="exact"/>
        <w:ind w:firstLineChars="0"/>
        <w:outlineLvl w:val="1"/>
        <w:rPr>
          <w:rStyle w:val="18"/>
          <w:rFonts w:ascii="黑体" w:hAnsi="黑体" w:eastAsia="黑体"/>
          <w:b w:val="0"/>
        </w:rPr>
      </w:pPr>
      <w:bookmarkStart w:id="10" w:name="_Toc15377205"/>
      <w:bookmarkStart w:id="11" w:name="_Toc15396603"/>
      <w:bookmarkStart w:id="12" w:name="_Toc1706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0"/>
      <w:bookmarkEnd w:id="11"/>
      <w:bookmarkEnd w:id="12"/>
    </w:p>
    <w:p>
      <w:pPr>
        <w:spacing w:line="600" w:lineRule="exact"/>
        <w:ind w:firstLine="640" w:firstLineChars="200"/>
        <w:rPr>
          <w:rFonts w:hint="eastAsia"/>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cs="仿宋_GB2312"/>
          <w:color w:val="auto"/>
          <w:sz w:val="32"/>
          <w:szCs w:val="32"/>
          <w:highlight w:val="none"/>
          <w:lang w:val="en-US" w:eastAsia="zh-CN"/>
        </w:rPr>
        <w:t>1071.54</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年相比，收、支总计各减少</w:t>
      </w:r>
      <w:r>
        <w:rPr>
          <w:rFonts w:hint="eastAsia" w:ascii="仿宋_GB2312" w:hAnsi="仿宋_GB2312" w:cs="仿宋_GB2312"/>
          <w:color w:val="auto"/>
          <w:sz w:val="32"/>
          <w:szCs w:val="32"/>
          <w:highlight w:val="none"/>
          <w:lang w:val="en-US" w:eastAsia="zh-CN"/>
        </w:rPr>
        <w:t>253.34</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19.12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收入方面：</w:t>
      </w:r>
      <w:r>
        <w:rPr>
          <w:rFonts w:hint="eastAsia" w:ascii="仿宋_GB2312" w:hAnsi="仿宋_GB2312" w:cs="仿宋_GB2312"/>
          <w:color w:val="auto"/>
          <w:sz w:val="32"/>
          <w:szCs w:val="32"/>
          <w:highlight w:val="none"/>
          <w:lang w:val="en-US" w:eastAsia="zh-CN"/>
        </w:rPr>
        <w:t>2022年无年初结转和结余，一般公共财政拨款收入减少316万，政府性基金预算财政拨款收入增加96.86万，2022年总收入较2021年减少253.34万元；支出方面2022年无年末结转和结余，2022年度支出减少253.34万元。</w:t>
      </w:r>
      <w:r>
        <w:rPr>
          <w:rFonts w:hint="eastAsia" w:ascii="仿宋_GB2312" w:hAnsi="仿宋" w:eastAsia="仿宋_GB2312" w:cs="仿宋_GB2312"/>
          <w:color w:val="000000"/>
          <w:lang w:eastAsia="zh-CN"/>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-5956935</wp:posOffset>
            </wp:positionV>
            <wp:extent cx="5042535" cy="2876550"/>
            <wp:effectExtent l="4445" t="4445" r="20320"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7"/>
        <w:rPr>
          <w:rFonts w:hint="eastAsia"/>
          <w:lang w:eastAsia="zh-CN"/>
        </w:rPr>
      </w:pPr>
      <w:r>
        <w:rPr>
          <w:rFonts w:hint="eastAsia" w:ascii="仿宋_GB2312" w:hAnsi="仿宋" w:eastAsia="仿宋_GB2312" w:cs="仿宋_GB2312"/>
          <w:color w:val="000000"/>
          <w:lang w:eastAsia="zh-CN"/>
        </w:rPr>
        <w:drawing>
          <wp:anchor distT="0" distB="0" distL="114300" distR="114300" simplePos="0" relativeHeight="251661312" behindDoc="0" locked="0" layoutInCell="1" allowOverlap="1">
            <wp:simplePos x="0" y="0"/>
            <wp:positionH relativeFrom="column">
              <wp:posOffset>467360</wp:posOffset>
            </wp:positionH>
            <wp:positionV relativeFrom="paragraph">
              <wp:posOffset>61595</wp:posOffset>
            </wp:positionV>
            <wp:extent cx="5042535" cy="2876550"/>
            <wp:effectExtent l="4445" t="4445" r="20320" b="1460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spacing w:line="600" w:lineRule="exact"/>
        <w:ind w:firstLine="640" w:firstLineChars="200"/>
        <w:jc w:val="left"/>
        <w:rPr>
          <w:rFonts w:ascii="仿宋_GB2312" w:eastAsia="仿宋_GB2312"/>
          <w:color w:val="000000"/>
          <w:sz w:val="32"/>
          <w:szCs w:val="32"/>
        </w:rPr>
      </w:pPr>
    </w:p>
    <w:p>
      <w:pPr>
        <w:pStyle w:val="7"/>
        <w:rPr>
          <w:rFonts w:ascii="仿宋_GB2312" w:eastAsia="仿宋_GB2312"/>
          <w:color w:val="000000"/>
          <w:sz w:val="32"/>
          <w:szCs w:val="32"/>
        </w:rPr>
      </w:pPr>
    </w:p>
    <w:p>
      <w:pPr>
        <w:spacing w:line="6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图1：收、支决算总计变动情况图</w:t>
      </w:r>
    </w:p>
    <w:p>
      <w:pPr>
        <w:pStyle w:val="7"/>
        <w:rPr>
          <w:rFonts w:ascii="仿宋_GB2312" w:eastAsia="仿宋_GB2312"/>
          <w:color w:val="000000"/>
          <w:sz w:val="32"/>
          <w:szCs w:val="32"/>
        </w:rPr>
      </w:pPr>
    </w:p>
    <w:p>
      <w:pPr>
        <w:pStyle w:val="7"/>
        <w:rPr>
          <w:rFonts w:ascii="仿宋_GB2312" w:eastAsia="仿宋_GB2312"/>
          <w:color w:val="000000"/>
          <w:sz w:val="32"/>
          <w:szCs w:val="32"/>
        </w:rPr>
      </w:pPr>
    </w:p>
    <w:p>
      <w:pPr>
        <w:pStyle w:val="19"/>
        <w:numPr>
          <w:ilvl w:val="0"/>
          <w:numId w:val="1"/>
        </w:numPr>
        <w:spacing w:line="600" w:lineRule="exact"/>
        <w:ind w:firstLineChars="0"/>
        <w:outlineLvl w:val="1"/>
        <w:rPr>
          <w:rStyle w:val="18"/>
          <w:rFonts w:ascii="黑体" w:hAnsi="黑体" w:eastAsia="黑体"/>
          <w:b w:val="0"/>
        </w:rPr>
      </w:pPr>
      <w:bookmarkStart w:id="13" w:name="_Toc15377206"/>
      <w:bookmarkStart w:id="14" w:name="_Toc12413"/>
      <w:bookmarkStart w:id="15"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13"/>
      <w:bookmarkEnd w:id="14"/>
      <w:bookmarkEnd w:id="15"/>
    </w:p>
    <w:p>
      <w:pPr>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cs="仿宋_GB2312"/>
          <w:color w:val="auto"/>
          <w:sz w:val="32"/>
          <w:szCs w:val="32"/>
          <w:highlight w:val="none"/>
          <w:lang w:val="en-US" w:eastAsia="zh-CN"/>
        </w:rPr>
        <w:t>1071.54</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cs="仿宋_GB2312"/>
          <w:color w:val="auto"/>
          <w:sz w:val="32"/>
          <w:szCs w:val="32"/>
          <w:highlight w:val="none"/>
          <w:lang w:val="en-US" w:eastAsia="zh-CN"/>
        </w:rPr>
        <w:t>943.28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cs="仿宋_GB2312"/>
          <w:color w:val="auto"/>
          <w:sz w:val="32"/>
          <w:szCs w:val="32"/>
          <w:highlight w:val="none"/>
          <w:lang w:val="en-US" w:eastAsia="zh-CN"/>
        </w:rPr>
        <w:t>128.26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620395</wp:posOffset>
            </wp:positionH>
            <wp:positionV relativeFrom="paragraph">
              <wp:posOffset>194945</wp:posOffset>
            </wp:positionV>
            <wp:extent cx="4194810" cy="2372360"/>
            <wp:effectExtent l="4445" t="5080" r="10795" b="2286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2240" w:firstLineChars="700"/>
        <w:rPr>
          <w:rFonts w:ascii="仿宋_GB2312" w:eastAsia="仿宋_GB2312"/>
          <w:color w:val="FF0000"/>
          <w:sz w:val="32"/>
          <w:szCs w:val="32"/>
        </w:rPr>
      </w:pPr>
      <w:r>
        <w:rPr>
          <w:rFonts w:hint="eastAsia" w:ascii="仿宋_GB2312" w:hAnsi="仿宋_GB2312" w:eastAsia="仿宋_GB2312" w:cs="仿宋_GB2312"/>
          <w:color w:val="000000"/>
          <w:sz w:val="32"/>
          <w:szCs w:val="32"/>
        </w:rPr>
        <w:t>图2：收入决算结构图</w:t>
      </w:r>
    </w:p>
    <w:p>
      <w:pPr>
        <w:pStyle w:val="19"/>
        <w:numPr>
          <w:ilvl w:val="0"/>
          <w:numId w:val="1"/>
        </w:numPr>
        <w:spacing w:line="600" w:lineRule="exact"/>
        <w:ind w:firstLineChars="0"/>
        <w:outlineLvl w:val="1"/>
        <w:rPr>
          <w:rStyle w:val="18"/>
          <w:rFonts w:ascii="黑体" w:hAnsi="黑体" w:eastAsia="黑体"/>
          <w:b w:val="0"/>
        </w:rPr>
      </w:pPr>
      <w:bookmarkStart w:id="16" w:name="_Toc8342"/>
      <w:bookmarkStart w:id="17" w:name="_Toc15377207"/>
      <w:bookmarkStart w:id="18"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16"/>
      <w:bookmarkEnd w:id="17"/>
      <w:bookmarkEnd w:id="18"/>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cs="仿宋_GB2312"/>
          <w:color w:val="auto"/>
          <w:sz w:val="32"/>
          <w:szCs w:val="32"/>
          <w:highlight w:val="none"/>
          <w:lang w:val="en-US" w:eastAsia="zh-CN"/>
        </w:rPr>
        <w:t>1071.54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cs="仿宋_GB2312"/>
          <w:color w:val="auto"/>
          <w:sz w:val="32"/>
          <w:szCs w:val="32"/>
          <w:highlight w:val="none"/>
          <w:lang w:val="en-US" w:eastAsia="zh-CN"/>
        </w:rPr>
        <w:t>576.26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53.77</w:t>
      </w:r>
      <w:r>
        <w:rPr>
          <w:rFonts w:hint="eastAsia" w:ascii="仿宋_GB2312" w:hAnsi="仿宋_GB2312" w:eastAsia="仿宋_GB2312" w:cs="仿宋_GB2312"/>
          <w:color w:val="auto"/>
          <w:sz w:val="32"/>
          <w:szCs w:val="32"/>
          <w:highlight w:val="none"/>
        </w:rPr>
        <w:t>%；项目支出</w:t>
      </w:r>
      <w:r>
        <w:rPr>
          <w:rFonts w:hint="eastAsia" w:ascii="仿宋_GB2312" w:hAnsi="仿宋_GB2312" w:cs="仿宋_GB2312"/>
          <w:color w:val="auto"/>
          <w:sz w:val="32"/>
          <w:szCs w:val="32"/>
          <w:highlight w:val="none"/>
          <w:lang w:val="en-US" w:eastAsia="zh-CN"/>
        </w:rPr>
        <w:t>495.28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46.23</w:t>
      </w:r>
      <w:r>
        <w:rPr>
          <w:rFonts w:hint="eastAsia" w:ascii="仿宋_GB2312" w:hAnsi="仿宋_GB2312" w:eastAsia="仿宋_GB2312" w:cs="仿宋_GB2312"/>
          <w:color w:val="auto"/>
          <w:sz w:val="32"/>
          <w:szCs w:val="32"/>
          <w:highlight w:val="none"/>
        </w:rPr>
        <w:t>%；上缴上级支出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687070</wp:posOffset>
            </wp:positionH>
            <wp:positionV relativeFrom="paragraph">
              <wp:posOffset>31750</wp:posOffset>
            </wp:positionV>
            <wp:extent cx="3919220" cy="2145665"/>
            <wp:effectExtent l="5080" t="4445" r="19050" b="2159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2560" w:firstLineChars="8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w:t>
      </w:r>
    </w:p>
    <w:p>
      <w:pPr>
        <w:spacing w:line="600" w:lineRule="exact"/>
        <w:ind w:firstLine="640" w:firstLineChars="200"/>
        <w:outlineLvl w:val="1"/>
        <w:rPr>
          <w:rStyle w:val="18"/>
          <w:rFonts w:ascii="黑体" w:hAnsi="黑体" w:eastAsia="黑体"/>
          <w:b w:val="0"/>
        </w:rPr>
      </w:pPr>
      <w:bookmarkStart w:id="19" w:name="_Toc15396606"/>
      <w:bookmarkStart w:id="20" w:name="_Toc15377208"/>
      <w:bookmarkStart w:id="21" w:name="_Toc23551"/>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19"/>
      <w:bookmarkEnd w:id="20"/>
      <w:bookmarkEnd w:id="21"/>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cs="仿宋_GB2312"/>
          <w:color w:val="auto"/>
          <w:sz w:val="32"/>
          <w:szCs w:val="32"/>
          <w:highlight w:val="none"/>
          <w:lang w:val="en-US" w:eastAsia="zh-CN"/>
        </w:rPr>
        <w:t>1071.54</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年相比，财政拨款收、支总计各减少</w:t>
      </w:r>
      <w:r>
        <w:rPr>
          <w:rFonts w:hint="eastAsia" w:ascii="仿宋_GB2312" w:hAnsi="仿宋_GB2312" w:cs="仿宋_GB2312"/>
          <w:color w:val="auto"/>
          <w:sz w:val="32"/>
          <w:szCs w:val="32"/>
          <w:highlight w:val="none"/>
          <w:lang w:val="en-US" w:eastAsia="zh-CN"/>
        </w:rPr>
        <w:t>253.34</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19.12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val="en-US" w:eastAsia="zh-CN"/>
        </w:rPr>
        <w:t>2022年无年初年末结转和结余，财政拨款收入和支出各减少253.34万元。</w:t>
      </w:r>
    </w:p>
    <w:p>
      <w:pPr>
        <w:spacing w:line="600" w:lineRule="exact"/>
        <w:rPr>
          <w:rFonts w:hint="eastAsia" w:ascii="仿宋_GB2312" w:hAnsi="仿宋_GB2312" w:eastAsia="仿宋_GB2312" w:cs="仿宋_GB2312"/>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419735</wp:posOffset>
            </wp:positionH>
            <wp:positionV relativeFrom="paragraph">
              <wp:posOffset>146685</wp:posOffset>
            </wp:positionV>
            <wp:extent cx="4661535" cy="2402205"/>
            <wp:effectExtent l="4445" t="4445" r="2032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8"/>
          <w:rFonts w:ascii="黑体" w:hAnsi="黑体" w:eastAsia="黑体"/>
          <w:b w:val="0"/>
        </w:rPr>
      </w:pPr>
      <w:bookmarkStart w:id="22" w:name="_Toc7507"/>
      <w:bookmarkStart w:id="23" w:name="_Toc15396607"/>
      <w:bookmarkStart w:id="2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2"/>
      <w:bookmarkEnd w:id="23"/>
      <w:bookmarkEnd w:id="24"/>
    </w:p>
    <w:p>
      <w:pPr>
        <w:spacing w:line="600" w:lineRule="exact"/>
        <w:ind w:firstLine="640" w:firstLineChars="200"/>
        <w:outlineLvl w:val="2"/>
        <w:rPr>
          <w:rFonts w:ascii="仿宋" w:hAnsi="仿宋" w:eastAsia="仿宋"/>
          <w:b/>
          <w:color w:val="000000"/>
          <w:sz w:val="32"/>
          <w:szCs w:val="32"/>
        </w:rPr>
      </w:pPr>
      <w:bookmarkStart w:id="25" w:name="_Toc15377210"/>
      <w:r>
        <w:rPr>
          <w:rFonts w:hint="eastAsia" w:ascii="仿宋" w:hAnsi="仿宋" w:eastAsia="仿宋"/>
          <w:b/>
          <w:color w:val="000000"/>
          <w:sz w:val="32"/>
          <w:szCs w:val="32"/>
        </w:rPr>
        <w:t>（一）一般公共预算财政拨款支出决算总体情况</w:t>
      </w:r>
      <w:bookmarkEnd w:id="25"/>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cs="仿宋_GB2312"/>
          <w:color w:val="auto"/>
          <w:sz w:val="32"/>
          <w:szCs w:val="32"/>
          <w:highlight w:val="none"/>
          <w:lang w:val="en-US" w:eastAsia="zh-CN"/>
        </w:rPr>
        <w:t>943.28</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减少</w:t>
      </w:r>
      <w:r>
        <w:rPr>
          <w:rFonts w:hint="eastAsia" w:ascii="仿宋_GB2312" w:hAnsi="仿宋_GB2312" w:cs="仿宋_GB2312"/>
          <w:color w:val="auto"/>
          <w:sz w:val="32"/>
          <w:szCs w:val="32"/>
          <w:highlight w:val="none"/>
          <w:lang w:val="en-US" w:eastAsia="zh-CN"/>
        </w:rPr>
        <w:t>316</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财政拨款支出中项目支出减少，与</w:t>
      </w:r>
      <w:r>
        <w:rPr>
          <w:rFonts w:hint="eastAsia" w:ascii="仿宋_GB2312" w:hAnsi="仿宋_GB2312" w:cs="仿宋_GB2312"/>
          <w:color w:val="auto"/>
          <w:sz w:val="32"/>
          <w:szCs w:val="32"/>
          <w:highlight w:val="none"/>
          <w:lang w:val="en-US" w:eastAsia="zh-CN"/>
        </w:rPr>
        <w:t>2021年相比项目支出减少47.64%。</w:t>
      </w:r>
    </w:p>
    <w:p>
      <w:pPr>
        <w:spacing w:line="600" w:lineRule="exact"/>
        <w:ind w:firstLine="640" w:firstLineChars="200"/>
        <w:rPr>
          <w:rFonts w:hint="eastAsia" w:ascii="仿宋" w:hAnsi="仿宋" w:eastAsia="仿宋"/>
          <w:b/>
          <w:color w:val="FF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553720</wp:posOffset>
            </wp:positionH>
            <wp:positionV relativeFrom="paragraph">
              <wp:posOffset>100965</wp:posOffset>
            </wp:positionV>
            <wp:extent cx="4652645" cy="2402205"/>
            <wp:effectExtent l="4445" t="4445" r="10160" b="1270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7"/>
        <w:rPr>
          <w:rFonts w:hint="eastAsia" w:ascii="仿宋" w:hAnsi="仿宋" w:eastAsia="仿宋"/>
          <w:b/>
          <w:color w:val="FF0000"/>
          <w:sz w:val="32"/>
          <w:szCs w:val="32"/>
        </w:rPr>
      </w:pPr>
    </w:p>
    <w:p>
      <w:pPr>
        <w:pStyle w:val="7"/>
        <w:rPr>
          <w:rFonts w:hint="eastAsia" w:ascii="仿宋" w:hAnsi="仿宋" w:eastAsia="仿宋"/>
          <w:b/>
          <w:color w:val="FF0000"/>
          <w:sz w:val="32"/>
          <w:szCs w:val="32"/>
        </w:rPr>
      </w:pPr>
    </w:p>
    <w:p>
      <w:pPr>
        <w:pStyle w:val="7"/>
        <w:rPr>
          <w:rFonts w:hint="eastAsia" w:ascii="仿宋" w:hAnsi="仿宋" w:eastAsia="仿宋"/>
          <w:b/>
          <w:color w:val="FF0000"/>
          <w:sz w:val="32"/>
          <w:szCs w:val="32"/>
        </w:rPr>
      </w:pPr>
    </w:p>
    <w:p>
      <w:pPr>
        <w:pStyle w:val="7"/>
        <w:rPr>
          <w:rFonts w:hint="eastAsia" w:ascii="仿宋" w:hAnsi="仿宋" w:eastAsia="仿宋"/>
          <w:b/>
          <w:color w:val="FF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26" w:name="_Toc15377211"/>
      <w:r>
        <w:rPr>
          <w:rFonts w:hint="eastAsia" w:ascii="仿宋" w:hAnsi="仿宋" w:eastAsia="仿宋"/>
          <w:b/>
          <w:color w:val="000000"/>
          <w:sz w:val="32"/>
          <w:szCs w:val="32"/>
        </w:rPr>
        <w:t>（二）一般公共预算财政拨款支出决算结构情况</w:t>
      </w:r>
      <w:bookmarkEnd w:id="26"/>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cs="仿宋_GB2312"/>
          <w:color w:val="auto"/>
          <w:sz w:val="32"/>
          <w:szCs w:val="32"/>
          <w:highlight w:val="none"/>
          <w:lang w:val="en-US" w:eastAsia="zh-CN"/>
        </w:rPr>
        <w:t>943.28</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教育支出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科学技术</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文化旅游体育与传媒支出</w:t>
      </w:r>
      <w:r>
        <w:rPr>
          <w:rFonts w:hint="eastAsia" w:ascii="仿宋_GB2312" w:hAnsi="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万元，占</w:t>
      </w:r>
      <w:r>
        <w:rPr>
          <w:rFonts w:hint="eastAsia" w:ascii="仿宋_GB2312" w:hAnsi="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885.09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93.83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cs="仿宋_GB2312"/>
          <w:color w:val="auto"/>
          <w:sz w:val="32"/>
          <w:szCs w:val="32"/>
          <w:highlight w:val="none"/>
          <w:lang w:val="en-US" w:eastAsia="zh-CN"/>
        </w:rPr>
        <w:t>27.78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2.94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cs="仿宋_GB2312"/>
          <w:color w:val="auto"/>
          <w:sz w:val="32"/>
          <w:szCs w:val="32"/>
          <w:highlight w:val="none"/>
          <w:lang w:val="en-US" w:eastAsia="zh-CN"/>
        </w:rPr>
        <w:t>30.41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3.23</w:t>
      </w: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9"/>
        <w:rPr>
          <w:rFonts w:ascii="仿宋" w:hAnsi="仿宋" w:eastAsia="仿宋"/>
          <w:b/>
          <w:color w:val="000000"/>
          <w:sz w:val="32"/>
          <w:szCs w:val="32"/>
        </w:rPr>
      </w:pPr>
    </w:p>
    <w:p>
      <w:pPr>
        <w:pStyle w:val="7"/>
        <w:rPr>
          <w:rFonts w:ascii="仿宋" w:hAnsi="仿宋" w:eastAsia="仿宋"/>
          <w:b/>
          <w:color w:val="000000"/>
          <w:sz w:val="32"/>
          <w:szCs w:val="32"/>
        </w:rPr>
      </w:pPr>
      <w:r>
        <w:rPr>
          <w:rFonts w:hint="eastAsia" w:ascii="仿宋_GB2312" w:hAnsi="仿宋_GB2312" w:eastAsia="仿宋_GB2312" w:cs="仿宋_GB2312"/>
          <w:b w:val="0"/>
          <w:bCs/>
          <w:color w:val="000000"/>
          <w:sz w:val="32"/>
          <w:szCs w:val="32"/>
          <w:lang w:eastAsia="zh-CN"/>
        </w:rPr>
        <w:drawing>
          <wp:anchor distT="0" distB="0" distL="114300" distR="114300" simplePos="0" relativeHeight="251666432" behindDoc="0" locked="0" layoutInCell="1" allowOverlap="1">
            <wp:simplePos x="0" y="0"/>
            <wp:positionH relativeFrom="column">
              <wp:posOffset>372745</wp:posOffset>
            </wp:positionH>
            <wp:positionV relativeFrom="paragraph">
              <wp:posOffset>328930</wp:posOffset>
            </wp:positionV>
            <wp:extent cx="3956050" cy="2390775"/>
            <wp:effectExtent l="4445" t="4445" r="20955" b="50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7"/>
        <w:rPr>
          <w:rFonts w:ascii="仿宋" w:hAnsi="仿宋" w:eastAsia="仿宋"/>
          <w:b/>
          <w:color w:val="000000"/>
          <w:sz w:val="32"/>
          <w:szCs w:val="32"/>
        </w:rPr>
      </w:pPr>
    </w:p>
    <w:p>
      <w:pPr>
        <w:pStyle w:val="7"/>
        <w:rPr>
          <w:rFonts w:ascii="仿宋" w:hAnsi="仿宋" w:eastAsia="仿宋"/>
          <w:b/>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27" w:name="_Toc15377212"/>
      <w:r>
        <w:rPr>
          <w:rFonts w:hint="eastAsia" w:ascii="仿宋" w:hAnsi="仿宋" w:eastAsia="仿宋"/>
          <w:b/>
          <w:color w:val="000000"/>
          <w:sz w:val="32"/>
          <w:szCs w:val="32"/>
        </w:rPr>
        <w:t>（三）一般公共预算财政拨款支出决算具体情况</w:t>
      </w:r>
      <w:bookmarkEnd w:id="27"/>
    </w:p>
    <w:p>
      <w:pPr>
        <w:spacing w:line="600" w:lineRule="exact"/>
        <w:ind w:firstLine="640" w:firstLineChars="200"/>
        <w:outlineLvl w:val="2"/>
        <w:rPr>
          <w:rFonts w:hint="eastAsia" w:ascii="仿宋_GB2312" w:hAnsi="仿宋_GB2312" w:eastAsia="仿宋_GB2312" w:cs="仿宋_GB2312"/>
          <w:color w:val="auto"/>
          <w:sz w:val="32"/>
          <w:szCs w:val="32"/>
          <w:highlight w:val="none"/>
        </w:rPr>
      </w:pPr>
      <w:bookmarkStart w:id="28" w:name="_Toc15377444"/>
      <w:bookmarkStart w:id="29" w:name="_Toc15377213"/>
      <w:bookmarkStart w:id="30" w:name="_Toc15378460"/>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cs="仿宋_GB2312"/>
          <w:b/>
          <w:color w:val="auto"/>
          <w:sz w:val="32"/>
          <w:szCs w:val="32"/>
          <w:highlight w:val="none"/>
          <w:lang w:val="en-US" w:eastAsia="zh-CN"/>
        </w:rPr>
        <w:t>943.28</w:t>
      </w:r>
      <w:r>
        <w:rPr>
          <w:rFonts w:hint="eastAsia" w:ascii="仿宋_GB2312" w:hAnsi="仿宋_GB2312" w:eastAsia="仿宋_GB2312" w:cs="仿宋_GB2312"/>
          <w:color w:val="auto"/>
          <w:sz w:val="32"/>
          <w:szCs w:val="32"/>
          <w:highlight w:val="none"/>
        </w:rPr>
        <w:t>，</w:t>
      </w:r>
      <w:r>
        <w:rPr>
          <w:rStyle w:val="14"/>
          <w:rFonts w:hint="eastAsia" w:ascii="仿宋_GB2312" w:hAnsi="仿宋_GB2312" w:eastAsia="仿宋_GB2312" w:cs="仿宋_GB2312"/>
          <w:bCs/>
          <w:color w:val="auto"/>
          <w:sz w:val="32"/>
          <w:szCs w:val="32"/>
          <w:highlight w:val="none"/>
        </w:rPr>
        <w:t>完成预算</w:t>
      </w:r>
      <w:r>
        <w:rPr>
          <w:rStyle w:val="14"/>
          <w:rFonts w:hint="eastAsia" w:ascii="仿宋_GB2312" w:hAnsi="仿宋_GB2312" w:cs="仿宋_GB2312"/>
          <w:bCs/>
          <w:color w:val="auto"/>
          <w:sz w:val="32"/>
          <w:szCs w:val="32"/>
          <w:highlight w:val="none"/>
          <w:lang w:val="en-US" w:eastAsia="zh-CN"/>
        </w:rPr>
        <w:t>100</w:t>
      </w:r>
      <w:r>
        <w:rPr>
          <w:rStyle w:val="14"/>
          <w:rFonts w:hint="eastAsia" w:ascii="仿宋_GB2312" w:hAnsi="仿宋_GB2312" w:eastAsia="仿宋_GB2312" w:cs="仿宋_GB2312"/>
          <w:bCs/>
          <w:color w:val="auto"/>
          <w:sz w:val="32"/>
          <w:szCs w:val="32"/>
          <w:highlight w:val="none"/>
        </w:rPr>
        <w:t>%。其中：</w:t>
      </w:r>
      <w:bookmarkEnd w:id="28"/>
      <w:bookmarkEnd w:id="29"/>
      <w:bookmarkEnd w:id="30"/>
    </w:p>
    <w:p>
      <w:pPr>
        <w:numPr>
          <w:ilvl w:val="0"/>
          <w:numId w:val="0"/>
        </w:numPr>
        <w:spacing w:line="600" w:lineRule="exact"/>
        <w:ind w:firstLine="640" w:firstLineChars="200"/>
        <w:outlineLvl w:val="9"/>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1.</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（款）行政单位离退休（项）: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25.36</w:t>
      </w:r>
      <w:r>
        <w:rPr>
          <w:rFonts w:hint="eastAsia" w:ascii="仿宋_GB2312" w:hAnsi="仿宋_GB2312" w:eastAsia="仿宋_GB2312" w:cs="仿宋_GB2312"/>
          <w:color w:val="000000"/>
        </w:rPr>
        <w:t>万元，完成预算100%。</w:t>
      </w:r>
    </w:p>
    <w:p>
      <w:pPr>
        <w:numPr>
          <w:ilvl w:val="0"/>
          <w:numId w:val="0"/>
        </w:numPr>
        <w:spacing w:line="600" w:lineRule="exact"/>
        <w:ind w:firstLine="640" w:firstLineChars="200"/>
        <w:jc w:val="left"/>
        <w:outlineLvl w:val="9"/>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2.</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（款）事业单位离退休（项）: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24.72</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3.</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（款）机关事业单位基本养老保险缴费支出（项）: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40.85</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4.</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（款）机关事业单位职业年金缴费支出（项）: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12.51</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5</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（类）残疾人事业（款）行政运行（项）: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194.15</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b/>
          <w:color w:val="000000"/>
          <w:sz w:val="32"/>
          <w:szCs w:val="32"/>
          <w:lang w:val="en-US" w:eastAsia="zh-CN"/>
        </w:rPr>
      </w:pPr>
      <w:r>
        <w:rPr>
          <w:rStyle w:val="14"/>
          <w:rFonts w:hint="eastAsia" w:ascii="仿宋_GB2312" w:hAnsi="仿宋_GB2312" w:cs="仿宋_GB2312"/>
          <w:color w:val="000000"/>
          <w:lang w:val="en-US" w:eastAsia="zh-CN"/>
        </w:rPr>
        <w:t>6</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（类）残疾人事业（款）一般行政管理事务（项）: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2.7</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color w:val="000000"/>
        </w:rPr>
      </w:pP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（类）残疾人事业（款）机关服务（项）: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220.45</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lang w:val="en-US" w:eastAsia="zh-CN"/>
        </w:rPr>
      </w:pPr>
      <w:r>
        <w:rPr>
          <w:rFonts w:hint="eastAsia" w:ascii="仿宋_GB2312" w:hAnsi="仿宋_GB2312" w:cs="仿宋_GB2312"/>
          <w:color w:val="000000"/>
          <w:lang w:val="en-US" w:eastAsia="zh-CN"/>
        </w:rPr>
        <w:t>8</w:t>
      </w:r>
      <w:r>
        <w:rPr>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（类）残疾人事业（款）其他残疾人事业支出（项）: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354.7</w:t>
      </w:r>
      <w:r>
        <w:rPr>
          <w:rFonts w:hint="eastAsia" w:ascii="仿宋_GB2312" w:hAnsi="仿宋_GB2312" w:eastAsia="仿宋_GB2312" w:cs="仿宋_GB2312"/>
          <w:color w:val="000000"/>
        </w:rPr>
        <w:t>万元，完成预算</w:t>
      </w:r>
      <w:r>
        <w:rPr>
          <w:rFonts w:hint="eastAsia" w:ascii="仿宋_GB2312" w:hAnsi="仿宋_GB2312" w:cs="仿宋_GB2312"/>
          <w:color w:val="000000"/>
          <w:lang w:val="en-US" w:eastAsia="zh-CN"/>
        </w:rPr>
        <w:t>100</w:t>
      </w:r>
      <w:r>
        <w:rPr>
          <w:rFonts w:hint="eastAsia" w:ascii="仿宋_GB2312" w:hAnsi="仿宋_GB2312" w:eastAsia="仿宋_GB2312" w:cs="仿宋_GB2312"/>
          <w:color w:val="000000"/>
        </w:rPr>
        <w:t>%。</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9</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（款）行政单位医疗（项）: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12.84</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10</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w:t>
      </w:r>
      <w:r>
        <w:rPr>
          <w:rStyle w:val="14"/>
          <w:rFonts w:hint="eastAsia" w:ascii="仿宋_GB2312" w:hAnsi="仿宋_GB2312" w:eastAsia="仿宋_GB2312" w:cs="仿宋_GB2312"/>
          <w:color w:val="000000"/>
          <w:lang w:eastAsia="zh-CN"/>
        </w:rPr>
        <w:t>事业</w:t>
      </w:r>
      <w:r>
        <w:rPr>
          <w:rStyle w:val="14"/>
          <w:rFonts w:hint="eastAsia" w:ascii="仿宋_GB2312" w:hAnsi="仿宋_GB2312" w:eastAsia="仿宋_GB2312" w:cs="仿宋_GB2312"/>
          <w:color w:val="000000"/>
        </w:rPr>
        <w:t>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12.08</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color w:val="000000"/>
        </w:rPr>
      </w:pPr>
      <w:r>
        <w:rPr>
          <w:rFonts w:hint="eastAsia" w:ascii="仿宋_GB2312" w:hAnsi="仿宋_GB2312" w:cs="仿宋_GB2312"/>
          <w:lang w:val="en-US" w:eastAsia="zh-CN"/>
        </w:rPr>
        <w:t>11</w:t>
      </w:r>
      <w:r>
        <w:rPr>
          <w:rFonts w:hint="eastAsia" w:ascii="仿宋_GB2312" w:hAnsi="仿宋_GB2312" w:eastAsia="仿宋_GB2312" w:cs="仿宋_GB2312"/>
          <w:lang w:val="en-US" w:eastAsia="zh-CN"/>
        </w:rPr>
        <w:t>.</w:t>
      </w:r>
      <w:r>
        <w:rPr>
          <w:rStyle w:val="14"/>
          <w:rFonts w:hint="eastAsia" w:ascii="仿宋_GB2312" w:hAnsi="仿宋_GB2312" w:eastAsia="仿宋_GB2312" w:cs="仿宋_GB2312"/>
          <w:color w:val="000000"/>
        </w:rPr>
        <w:t>住房保障支出（类）住房改革支出（款）住房公积金（项）:</w:t>
      </w:r>
      <w:r>
        <w:rPr>
          <w:rFonts w:hint="eastAsia" w:ascii="仿宋_GB2312" w:hAnsi="仿宋_GB2312" w:eastAsia="仿宋_GB2312" w:cs="仿宋_GB2312"/>
          <w:color w:val="000000"/>
        </w:rPr>
        <w:t xml:space="preserve"> 支出决算为</w:t>
      </w:r>
      <w:r>
        <w:rPr>
          <w:rFonts w:hint="eastAsia" w:ascii="仿宋_GB2312" w:hAnsi="仿宋_GB2312" w:cs="仿宋_GB2312"/>
          <w:color w:val="000000"/>
          <w:lang w:val="en-US" w:eastAsia="zh-CN"/>
        </w:rPr>
        <w:t>30.40</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b/>
          <w:color w:val="FF0000"/>
          <w:sz w:val="32"/>
          <w:szCs w:val="32"/>
        </w:rPr>
      </w:pPr>
    </w:p>
    <w:p>
      <w:pPr>
        <w:tabs>
          <w:tab w:val="right" w:pos="8306"/>
        </w:tabs>
        <w:spacing w:line="600" w:lineRule="exact"/>
        <w:ind w:firstLine="640" w:firstLineChars="200"/>
        <w:outlineLvl w:val="1"/>
        <w:rPr>
          <w:rStyle w:val="18"/>
        </w:rPr>
      </w:pPr>
      <w:bookmarkStart w:id="31" w:name="_Toc15377214"/>
      <w:bookmarkStart w:id="32" w:name="_Toc15396608"/>
      <w:bookmarkStart w:id="33" w:name="_Toc3138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1"/>
      <w:bookmarkEnd w:id="32"/>
      <w:bookmarkEnd w:id="33"/>
      <w:r>
        <w:rPr>
          <w:rStyle w:val="18"/>
          <w:rFonts w:ascii="黑体" w:hAnsi="黑体" w:eastAsia="黑体"/>
          <w:b w:val="0"/>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cs="仿宋_GB2312"/>
          <w:color w:val="auto"/>
          <w:sz w:val="32"/>
          <w:szCs w:val="32"/>
          <w:highlight w:val="none"/>
          <w:lang w:val="en-US" w:eastAsia="zh-CN"/>
        </w:rPr>
        <w:t>576.25</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507.93</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cs="仿宋_GB2312"/>
          <w:color w:val="auto"/>
          <w:sz w:val="32"/>
          <w:szCs w:val="32"/>
          <w:highlight w:val="none"/>
          <w:lang w:val="en-US" w:eastAsia="zh-CN"/>
        </w:rPr>
        <w:t>68.32</w:t>
      </w:r>
      <w:r>
        <w:rPr>
          <w:rFonts w:hint="eastAsia" w:ascii="仿宋_GB2312" w:hAnsi="仿宋_GB2312" w:eastAsia="仿宋_GB2312" w:cs="仿宋_GB2312"/>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b w:val="0"/>
        </w:rPr>
      </w:pPr>
      <w:bookmarkStart w:id="34" w:name="_Toc15396609"/>
      <w:bookmarkStart w:id="35" w:name="_Toc15377215"/>
      <w:bookmarkStart w:id="36" w:name="_Toc19233"/>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4"/>
      <w:bookmarkEnd w:id="35"/>
      <w:bookmarkEnd w:id="36"/>
    </w:p>
    <w:p>
      <w:pPr>
        <w:spacing w:line="600" w:lineRule="exact"/>
        <w:ind w:firstLine="640"/>
        <w:outlineLvl w:val="2"/>
        <w:rPr>
          <w:rFonts w:hint="eastAsia" w:ascii="仿宋_GB2312" w:hAnsi="仿宋_GB2312" w:eastAsia="仿宋_GB2312" w:cs="仿宋_GB2312"/>
          <w:b/>
          <w:color w:val="000000"/>
          <w:sz w:val="32"/>
          <w:szCs w:val="32"/>
        </w:rPr>
      </w:pPr>
      <w:bookmarkStart w:id="37" w:name="_Toc15377216"/>
      <w:r>
        <w:rPr>
          <w:rFonts w:hint="eastAsia" w:ascii="仿宋_GB2312" w:hAnsi="仿宋_GB2312" w:eastAsia="仿宋_GB2312" w:cs="仿宋_GB2312"/>
          <w:b/>
          <w:color w:val="000000"/>
          <w:sz w:val="32"/>
          <w:szCs w:val="32"/>
        </w:rPr>
        <w:t>（一）“三公”经费财政拨款支出决算总体情况说明</w:t>
      </w:r>
      <w:bookmarkEnd w:id="37"/>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cs="仿宋_GB2312"/>
          <w:color w:val="auto"/>
          <w:sz w:val="32"/>
          <w:szCs w:val="32"/>
          <w:highlight w:val="none"/>
          <w:lang w:val="en-US" w:eastAsia="zh-CN"/>
        </w:rPr>
        <w:t>3.85</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98.71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lang w:val="en-US" w:eastAsia="zh-CN"/>
        </w:rPr>
        <w:t>万元，下降</w:t>
      </w:r>
      <w:r>
        <w:rPr>
          <w:rFonts w:hint="eastAsia" w:ascii="仿宋_GB2312" w:hAnsi="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决算数小于预算数的主要原因是</w:t>
      </w:r>
      <w:r>
        <w:rPr>
          <w:rFonts w:hint="eastAsia" w:ascii="仿宋_GB2312" w:hAnsi="仿宋_GB2312" w:cs="仿宋_GB2312"/>
          <w:color w:val="auto"/>
          <w:sz w:val="32"/>
          <w:szCs w:val="32"/>
          <w:highlight w:val="none"/>
          <w:lang w:eastAsia="zh-CN"/>
        </w:rPr>
        <w:t>公务用车维护费下降</w:t>
      </w:r>
      <w:r>
        <w:rPr>
          <w:rFonts w:hint="eastAsia" w:ascii="仿宋_GB2312" w:hAnsi="仿宋_GB2312" w:eastAsia="仿宋_GB2312" w:cs="仿宋_GB2312"/>
          <w:color w:val="auto"/>
          <w:sz w:val="32"/>
          <w:szCs w:val="32"/>
          <w:highlight w:val="none"/>
        </w:rPr>
        <w:t>。</w:t>
      </w:r>
    </w:p>
    <w:p>
      <w:pPr>
        <w:spacing w:line="600" w:lineRule="exact"/>
        <w:ind w:firstLine="640"/>
        <w:outlineLvl w:val="2"/>
        <w:rPr>
          <w:rFonts w:hint="eastAsia" w:ascii="仿宋_GB2312" w:hAnsi="仿宋_GB2312" w:eastAsia="仿宋_GB2312" w:cs="仿宋_GB2312"/>
          <w:b/>
          <w:color w:val="000000"/>
          <w:sz w:val="32"/>
          <w:szCs w:val="32"/>
        </w:rPr>
      </w:pPr>
      <w:bookmarkStart w:id="38" w:name="_Toc15377217"/>
      <w:r>
        <w:rPr>
          <w:rFonts w:hint="eastAsia" w:ascii="仿宋_GB2312" w:hAnsi="仿宋_GB2312" w:eastAsia="仿宋_GB2312" w:cs="仿宋_GB2312"/>
          <w:b/>
          <w:color w:val="000000"/>
          <w:sz w:val="32"/>
          <w:szCs w:val="32"/>
        </w:rPr>
        <w:t>（二）“三公”经费财政拨款支出决算具体情况说明</w:t>
      </w:r>
      <w:bookmarkEnd w:id="38"/>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3.43</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89.09</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0.42</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10.91</w:t>
      </w:r>
      <w:r>
        <w:rPr>
          <w:rFonts w:hint="eastAsia" w:ascii="仿宋_GB2312" w:hAnsi="仿宋_GB2312" w:eastAsia="仿宋_GB2312" w:cs="仿宋_GB2312"/>
          <w:color w:val="auto"/>
          <w:sz w:val="32"/>
          <w:szCs w:val="32"/>
          <w:highlight w:val="none"/>
        </w:rPr>
        <w:t>%。具体情况如下：</w:t>
      </w: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r>
        <w:rPr>
          <w:rFonts w:hint="default" w:ascii="仿宋" w:hAnsi="仿宋" w:eastAsia="仿宋"/>
          <w:color w:val="000000"/>
          <w:sz w:val="32"/>
          <w:szCs w:val="32"/>
          <w:lang w:val="en-US" w:eastAsia="zh-CN"/>
        </w:rPr>
        <w:drawing>
          <wp:anchor distT="0" distB="0" distL="114300" distR="114300" simplePos="0" relativeHeight="251667456" behindDoc="0" locked="0" layoutInCell="1" allowOverlap="1">
            <wp:simplePos x="0" y="0"/>
            <wp:positionH relativeFrom="column">
              <wp:posOffset>610870</wp:posOffset>
            </wp:positionH>
            <wp:positionV relativeFrom="paragraph">
              <wp:posOffset>213360</wp:posOffset>
            </wp:positionV>
            <wp:extent cx="3985260" cy="2095500"/>
            <wp:effectExtent l="4445" t="4445" r="10795" b="1460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p>
    <w:p>
      <w:pPr>
        <w:spacing w:line="600" w:lineRule="exact"/>
        <w:ind w:firstLine="1920" w:firstLineChars="6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0</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持平</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3.43</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98</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cs="仿宋_GB2312"/>
          <w:color w:val="auto"/>
          <w:sz w:val="32"/>
          <w:szCs w:val="32"/>
          <w:highlight w:val="none"/>
          <w:lang w:val="en-US" w:eastAsia="zh-CN"/>
        </w:rPr>
        <w:t>0.08</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000000"/>
          <w:sz w:val="32"/>
          <w:szCs w:val="32"/>
        </w:rPr>
        <w:t>主要原因是</w:t>
      </w:r>
      <w:r>
        <w:rPr>
          <w:rFonts w:hint="eastAsia" w:ascii="仿宋_GB2312" w:hAnsi="仿宋_GB2312" w:eastAsia="仿宋_GB2312" w:cs="仿宋_GB2312"/>
          <w:b w:val="0"/>
          <w:bCs/>
          <w:color w:val="000000"/>
        </w:rPr>
        <w:t>我单位</w:t>
      </w:r>
      <w:r>
        <w:rPr>
          <w:rFonts w:hint="eastAsia" w:ascii="仿宋_GB2312" w:hAnsi="仿宋_GB2312" w:cs="仿宋_GB2312"/>
          <w:b w:val="0"/>
          <w:bCs/>
          <w:color w:val="000000"/>
          <w:lang w:eastAsia="zh-CN"/>
        </w:rPr>
        <w:t>下乡次数增加，为残疾人提供</w:t>
      </w:r>
      <w:r>
        <w:rPr>
          <w:rFonts w:hint="eastAsia" w:ascii="仿宋_GB2312" w:hAnsi="仿宋_GB2312" w:eastAsia="仿宋_GB2312" w:cs="仿宋_GB2312"/>
          <w:b w:val="0"/>
          <w:bCs/>
        </w:rPr>
        <w:t>辅具配送、残疾人入户调查、残疾人慰问帮扶</w:t>
      </w:r>
      <w:r>
        <w:rPr>
          <w:rFonts w:hint="eastAsia" w:ascii="仿宋_GB2312" w:hAnsi="仿宋_GB2312" w:cs="仿宋_GB2312"/>
          <w:b w:val="0"/>
          <w:bCs/>
          <w:color w:val="000000"/>
          <w:lang w:eastAsia="zh-CN"/>
        </w:rPr>
        <w:t>等</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辆，其中：轿车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辆、越野车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b w:val="0"/>
          <w:bCs/>
          <w:color w:val="000000"/>
          <w:sz w:val="32"/>
          <w:szCs w:val="32"/>
        </w:rPr>
        <w:t>汽车</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辆</w:t>
      </w:r>
      <w:r>
        <w:rPr>
          <w:rFonts w:hint="eastAsia" w:ascii="仿宋_GB2312" w:hAnsi="仿宋_GB2312" w:eastAsia="仿宋_GB2312" w:cs="仿宋_GB2312"/>
          <w:b w:val="0"/>
          <w:bCs/>
          <w:color w:val="000000"/>
        </w:rPr>
        <w:t>（残疾人辅具配送车）</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cs="仿宋_GB2312"/>
          <w:color w:val="auto"/>
          <w:sz w:val="32"/>
          <w:szCs w:val="32"/>
          <w:highlight w:val="none"/>
          <w:lang w:val="en-US" w:eastAsia="zh-CN"/>
        </w:rPr>
        <w:t>3.43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rPr>
        <w:t>主要用于市残联机关及下属事业单位开展残疾人事业工作、残疾人辅具配送、残疾人入户调查、残疾人慰问帮扶</w:t>
      </w:r>
      <w:r>
        <w:rPr>
          <w:rFonts w:hint="eastAsia" w:ascii="仿宋_GB2312" w:hAnsi="仿宋_GB2312" w:eastAsia="仿宋_GB2312" w:cs="仿宋_GB2312"/>
          <w:b w:val="0"/>
          <w:bCs/>
          <w:color w:val="000000"/>
        </w:rPr>
        <w:t>等所需的公务用车燃料费、维修费、过路过桥费、保险费等支出</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cs="仿宋_GB2312"/>
          <w:color w:val="auto"/>
          <w:sz w:val="32"/>
          <w:szCs w:val="32"/>
          <w:highlight w:val="none"/>
          <w:lang w:val="en-US" w:eastAsia="zh-CN"/>
        </w:rPr>
        <w:t>0.42</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100</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年增加减少</w:t>
      </w:r>
      <w:r>
        <w:rPr>
          <w:rFonts w:hint="eastAsia" w:ascii="仿宋_GB2312" w:hAnsi="仿宋_GB2312" w:cs="仿宋_GB2312"/>
          <w:color w:val="auto"/>
          <w:sz w:val="32"/>
          <w:szCs w:val="32"/>
          <w:highlight w:val="none"/>
          <w:lang w:val="en-US" w:eastAsia="zh-CN"/>
        </w:rPr>
        <w:t>0.08</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000000"/>
          <w:sz w:val="32"/>
          <w:szCs w:val="32"/>
        </w:rPr>
        <w:t>主要原因是</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继续贯彻落实中央八项规定及</w:t>
      </w:r>
      <w:r>
        <w:rPr>
          <w:rStyle w:val="15"/>
          <w:rFonts w:hint="eastAsia" w:ascii="Times New Roman" w:hAnsi="Times New Roman" w:cs="Times New Roman"/>
          <w:b w:val="0"/>
          <w:bCs/>
          <w:i w:val="0"/>
          <w:caps w:val="0"/>
          <w:color w:val="000000"/>
          <w:spacing w:val="0"/>
          <w:w w:val="100"/>
          <w:kern w:val="2"/>
          <w:sz w:val="32"/>
          <w:szCs w:val="24"/>
          <w:lang w:val="en-US" w:eastAsia="zh-CN" w:bidi="ar-SA"/>
        </w:rPr>
        <w:t>省委省政府和</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市委市政府</w:t>
      </w:r>
      <w:r>
        <w:rPr>
          <w:rStyle w:val="15"/>
          <w:rFonts w:hint="eastAsia" w:ascii="Times New Roman" w:hAnsi="Times New Roman" w:cs="Times New Roman"/>
          <w:b w:val="0"/>
          <w:bCs/>
          <w:i w:val="0"/>
          <w:caps w:val="0"/>
          <w:color w:val="000000"/>
          <w:spacing w:val="0"/>
          <w:w w:val="100"/>
          <w:kern w:val="2"/>
          <w:sz w:val="32"/>
          <w:szCs w:val="24"/>
          <w:lang w:val="en-US" w:eastAsia="zh-CN" w:bidi="ar-SA"/>
        </w:rPr>
        <w:t>系列</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规定，厉行节约</w:t>
      </w:r>
      <w:r>
        <w:rPr>
          <w:rFonts w:hint="eastAsia" w:ascii="仿宋_GB2312" w:hAnsi="仿宋_GB2312" w:eastAsia="仿宋_GB2312" w:cs="仿宋_GB2312"/>
          <w:color w:val="auto"/>
          <w:sz w:val="32"/>
          <w:szCs w:val="32"/>
          <w:highlight w:val="none"/>
        </w:rPr>
        <w:t>。其中：</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cs="仿宋_GB2312"/>
          <w:color w:val="auto"/>
          <w:sz w:val="32"/>
          <w:szCs w:val="32"/>
          <w:highlight w:val="none"/>
          <w:lang w:val="en-US" w:eastAsia="zh-CN"/>
        </w:rPr>
        <w:t>0.42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color w:val="000000"/>
          <w:sz w:val="32"/>
          <w:szCs w:val="32"/>
        </w:rPr>
        <w:t>主要用于执行公务、开展业务活动开支的交通费、住宿费、用餐费等</w:t>
      </w:r>
      <w:r>
        <w:rPr>
          <w:rFonts w:hint="eastAsia" w:ascii="仿宋_GB2312" w:hAnsi="仿宋_GB2312" w:eastAsia="仿宋_GB2312" w:cs="仿宋_GB2312"/>
          <w:color w:val="auto"/>
          <w:sz w:val="32"/>
          <w:szCs w:val="32"/>
          <w:highlight w:val="none"/>
        </w:rPr>
        <w:t>。国内公务接待</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0.42</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cs="仿宋_GB2312"/>
          <w:color w:val="auto"/>
          <w:sz w:val="32"/>
          <w:szCs w:val="32"/>
          <w:highlight w:val="none"/>
          <w:lang w:eastAsia="zh-CN"/>
        </w:rPr>
        <w:t>一是接待重庆忠县残联一行莅临考察费用</w:t>
      </w:r>
      <w:r>
        <w:rPr>
          <w:rFonts w:hint="eastAsia" w:ascii="仿宋_GB2312" w:hAnsi="仿宋_GB2312" w:cs="仿宋_GB2312"/>
          <w:color w:val="auto"/>
          <w:sz w:val="32"/>
          <w:szCs w:val="32"/>
          <w:highlight w:val="none"/>
          <w:lang w:val="en-US" w:eastAsia="zh-CN"/>
        </w:rPr>
        <w:t>850元；二是接待省残联领导调研市残联工作费用1050元；三是接待省残联副理事长一行到自贡宣讲二十大精神并调研残疾人康复工作费用980元；四是接待眉山市东坡区残联费用1320元</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外事接待</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次（不包括陪同人员）</w:t>
      </w:r>
      <w:r>
        <w:rPr>
          <w:rFonts w:hint="eastAsia" w:ascii="仿宋_GB2312" w:hAnsi="仿宋_GB2312" w:eastAsia="仿宋_GB2312" w:cs="仿宋_GB2312"/>
          <w:color w:val="auto"/>
          <w:sz w:val="32"/>
          <w:szCs w:val="32"/>
          <w:highlight w:val="none"/>
        </w:rPr>
        <w:t>，共计支出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1"/>
        <w:rPr>
          <w:rStyle w:val="18"/>
          <w:rFonts w:ascii="黑体" w:hAnsi="黑体" w:eastAsia="黑体"/>
        </w:rPr>
      </w:pPr>
      <w:bookmarkStart w:id="39" w:name="_Toc15396610"/>
      <w:bookmarkStart w:id="40" w:name="_Toc15377218"/>
      <w:bookmarkStart w:id="41" w:name="_Toc31714"/>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39"/>
      <w:bookmarkEnd w:id="40"/>
      <w:bookmarkEnd w:id="41"/>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128.26</w:t>
      </w:r>
      <w:r>
        <w:rPr>
          <w:rFonts w:hint="eastAsia" w:ascii="仿宋_GB2312" w:hAnsi="仿宋_GB2312" w:eastAsia="仿宋_GB2312" w:cs="仿宋_GB2312"/>
          <w:color w:val="auto"/>
          <w:sz w:val="32"/>
          <w:szCs w:val="32"/>
          <w:highlight w:val="none"/>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8"/>
          <w:rFonts w:ascii="黑体" w:hAnsi="黑体" w:eastAsia="黑体"/>
          <w:b w:val="0"/>
        </w:rPr>
      </w:pPr>
      <w:bookmarkStart w:id="42" w:name="_Toc15377219"/>
      <w:bookmarkStart w:id="43" w:name="_Toc15396611"/>
      <w:bookmarkStart w:id="44" w:name="_Toc12385"/>
      <w:r>
        <w:rPr>
          <w:rStyle w:val="18"/>
          <w:rFonts w:hint="eastAsia" w:ascii="黑体" w:hAnsi="黑体" w:eastAsia="黑体"/>
          <w:b w:val="0"/>
        </w:rPr>
        <w:t>国有资本经营预算支出决算情况说明</w:t>
      </w:r>
      <w:bookmarkEnd w:id="42"/>
      <w:bookmarkEnd w:id="43"/>
      <w:bookmarkEnd w:id="44"/>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rPr>
          <w:rFonts w:hint="eastAsia" w:ascii="仿宋_GB2312" w:hAnsi="仿宋_GB2312" w:eastAsia="仿宋_GB2312" w:cs="仿宋_GB2312"/>
          <w:b/>
          <w:color w:val="FF0000"/>
          <w:sz w:val="32"/>
          <w:szCs w:val="32"/>
        </w:rPr>
      </w:pP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45" w:name="_Toc15377221"/>
      <w:bookmarkStart w:id="46" w:name="_Toc15396612"/>
      <w:bookmarkStart w:id="47" w:name="_Toc30095"/>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5"/>
      <w:bookmarkEnd w:id="46"/>
      <w:bookmarkEnd w:id="47"/>
    </w:p>
    <w:p>
      <w:pPr>
        <w:spacing w:line="600" w:lineRule="exact"/>
        <w:ind w:firstLine="640" w:firstLineChars="200"/>
        <w:outlineLvl w:val="2"/>
        <w:rPr>
          <w:rFonts w:hint="eastAsia" w:ascii="仿宋_GB2312" w:hAnsi="仿宋_GB2312" w:eastAsia="仿宋_GB2312" w:cs="仿宋_GB2312"/>
          <w:color w:val="000000"/>
          <w:sz w:val="32"/>
          <w:szCs w:val="32"/>
        </w:rPr>
      </w:pPr>
      <w:bookmarkStart w:id="48" w:name="_Toc15377222"/>
      <w:r>
        <w:rPr>
          <w:rFonts w:hint="eastAsia" w:ascii="仿宋_GB2312" w:hAnsi="仿宋_GB2312" w:eastAsia="仿宋_GB2312" w:cs="仿宋_GB2312"/>
          <w:b/>
          <w:color w:val="000000"/>
          <w:sz w:val="32"/>
          <w:szCs w:val="32"/>
        </w:rPr>
        <w:t>（一）机关运行经费支出情况</w:t>
      </w:r>
      <w:bookmarkEnd w:id="48"/>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市残联</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cs="仿宋_GB2312"/>
          <w:color w:val="auto"/>
          <w:sz w:val="32"/>
          <w:szCs w:val="32"/>
          <w:highlight w:val="none"/>
          <w:lang w:val="en-US" w:eastAsia="zh-CN"/>
        </w:rPr>
        <w:t>31.98</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cs="仿宋_GB2312"/>
          <w:color w:val="auto"/>
          <w:sz w:val="32"/>
          <w:szCs w:val="32"/>
          <w:highlight w:val="none"/>
          <w:lang w:val="en-US" w:eastAsia="zh-CN"/>
        </w:rPr>
        <w:t>1.29</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eastAsia="zh-CN"/>
        </w:rPr>
        <w:t>经费支出增加</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000000"/>
          <w:sz w:val="32"/>
          <w:szCs w:val="32"/>
        </w:rPr>
      </w:pPr>
      <w:bookmarkStart w:id="49" w:name="_Toc15377223"/>
      <w:r>
        <w:rPr>
          <w:rFonts w:hint="eastAsia" w:ascii="仿宋_GB2312" w:hAnsi="仿宋_GB2312" w:eastAsia="仿宋_GB2312" w:cs="仿宋_GB2312"/>
          <w:b/>
          <w:color w:val="000000"/>
          <w:sz w:val="32"/>
          <w:szCs w:val="32"/>
        </w:rPr>
        <w:t>（二）政府采购支出情况</w:t>
      </w:r>
      <w:bookmarkEnd w:id="49"/>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市残联部门</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cs="仿宋_GB2312"/>
          <w:color w:val="auto"/>
          <w:sz w:val="32"/>
          <w:szCs w:val="32"/>
          <w:highlight w:val="none"/>
          <w:lang w:val="en-US" w:eastAsia="zh-CN"/>
        </w:rPr>
        <w:t>225.67</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cs="仿宋_GB2312"/>
          <w:color w:val="auto"/>
          <w:sz w:val="32"/>
          <w:szCs w:val="32"/>
          <w:highlight w:val="none"/>
          <w:lang w:val="en-US" w:eastAsia="zh-CN"/>
        </w:rPr>
        <w:t>225.67</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sz w:val="32"/>
          <w:szCs w:val="32"/>
        </w:rPr>
        <w:t>采购办公设备、公车运行维护、市残疾人康复中心大楼建设中央空调及附属设施康复设备等</w:t>
      </w:r>
      <w:r>
        <w:rPr>
          <w:rFonts w:hint="eastAsia" w:ascii="仿宋_GB2312" w:hAnsi="仿宋_GB2312" w:eastAsia="仿宋_GB2312" w:cs="仿宋_GB2312"/>
          <w:color w:val="auto"/>
          <w:sz w:val="32"/>
          <w:szCs w:val="32"/>
          <w:highlight w:val="none"/>
        </w:rPr>
        <w:t>。授予中小企业合同金额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000000"/>
          <w:sz w:val="32"/>
          <w:szCs w:val="32"/>
        </w:rPr>
      </w:pPr>
      <w:bookmarkStart w:id="50" w:name="_Toc15377224"/>
      <w:r>
        <w:rPr>
          <w:rFonts w:hint="eastAsia" w:ascii="仿宋_GB2312" w:hAnsi="仿宋_GB2312" w:eastAsia="仿宋_GB2312" w:cs="仿宋_GB2312"/>
          <w:b/>
          <w:color w:val="000000"/>
          <w:sz w:val="32"/>
          <w:szCs w:val="32"/>
        </w:rPr>
        <w:t>（三）国有资产占有使用情况</w:t>
      </w:r>
      <w:bookmarkEnd w:id="50"/>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000000"/>
          <w:sz w:val="32"/>
          <w:szCs w:val="32"/>
          <w:lang w:eastAsia="zh-CN"/>
        </w:rPr>
        <w:t>市残联部门</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其他用车主要是用于</w:t>
      </w:r>
      <w:r>
        <w:rPr>
          <w:rFonts w:hint="eastAsia" w:ascii="仿宋_GB2312" w:hAnsi="仿宋_GB2312" w:eastAsia="仿宋_GB2312" w:cs="仿宋_GB2312"/>
        </w:rPr>
        <w:t>市残联机关及下属事业单位开展残疾人辅具配送、残疾人入户调查、残疾人慰问帮扶</w:t>
      </w:r>
      <w:r>
        <w:rPr>
          <w:rFonts w:hint="eastAsia" w:ascii="仿宋_GB2312" w:hAnsi="仿宋_GB2312" w:eastAsia="仿宋_GB2312" w:cs="仿宋_GB2312"/>
          <w:color w:val="000000"/>
        </w:rPr>
        <w:t>等</w:t>
      </w:r>
      <w:r>
        <w:rPr>
          <w:rFonts w:hint="eastAsia" w:ascii="仿宋_GB2312" w:hAnsi="仿宋_GB2312" w:eastAsia="仿宋_GB2312" w:cs="仿宋_GB2312"/>
          <w:color w:val="000000"/>
          <w:lang w:eastAsia="zh-CN"/>
        </w:rPr>
        <w:t>残疾人事业相关工作。</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台，单价100万元以上专用设备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p>
    <w:p>
      <w:p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cs="仿宋_GB2312"/>
          <w:color w:val="auto"/>
          <w:sz w:val="32"/>
          <w:szCs w:val="32"/>
          <w:highlight w:val="none"/>
          <w:lang w:eastAsia="zh-CN"/>
        </w:rPr>
        <w:t>残疾人康复就业等</w:t>
      </w:r>
      <w:r>
        <w:rPr>
          <w:rFonts w:hint="eastAsia" w:ascii="仿宋_GB2312" w:hAnsi="仿宋_GB2312" w:eastAsia="仿宋_GB2312" w:cs="仿宋_GB2312"/>
          <w:color w:val="auto"/>
          <w:sz w:val="32"/>
          <w:szCs w:val="32"/>
          <w:highlight w:val="none"/>
        </w:rPr>
        <w:t>项目</w:t>
      </w:r>
      <w:r>
        <w:rPr>
          <w:rFonts w:hint="eastAsia" w:ascii="仿宋_GB2312" w:hAnsi="仿宋_GB2312" w:cs="仿宋_GB2312"/>
          <w:color w:val="auto"/>
          <w:sz w:val="32"/>
          <w:szCs w:val="32"/>
          <w:highlight w:val="none"/>
          <w:lang w:eastAsia="zh-CN"/>
        </w:rPr>
        <w:t>二十一</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cs="仿宋_GB2312"/>
          <w:color w:val="auto"/>
          <w:sz w:val="32"/>
          <w:szCs w:val="32"/>
          <w:highlight w:val="none"/>
          <w:lang w:eastAsia="zh-CN"/>
        </w:rPr>
        <w:t>二十一</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w:t>
      </w:r>
    </w:p>
    <w:p>
      <w:pPr>
        <w:pStyle w:val="2"/>
        <w:ind w:left="0" w:leftChars="0"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auto"/>
          <w:sz w:val="32"/>
          <w:szCs w:val="32"/>
          <w:highlight w:val="none"/>
        </w:rPr>
        <w:t>组织对2022年度一般公共预算、政府性基金预算全面开展绩效自评，形成</w:t>
      </w:r>
      <w:r>
        <w:rPr>
          <w:rFonts w:hint="eastAsia" w:ascii="仿宋_GB2312" w:hAnsi="仿宋_GB2312" w:cs="仿宋_GB2312"/>
          <w:color w:val="auto"/>
          <w:sz w:val="32"/>
          <w:szCs w:val="32"/>
          <w:highlight w:val="none"/>
          <w:lang w:val="en-US" w:eastAsia="zh-CN"/>
        </w:rPr>
        <w:t>2022年自贡市残联</w:t>
      </w:r>
      <w:r>
        <w:rPr>
          <w:rFonts w:hint="eastAsia" w:ascii="仿宋_GB2312" w:hAnsi="仿宋_GB2312" w:eastAsia="仿宋_GB2312" w:cs="仿宋_GB2312"/>
          <w:color w:val="auto"/>
          <w:sz w:val="32"/>
          <w:szCs w:val="32"/>
          <w:highlight w:val="none"/>
        </w:rPr>
        <w:t>部门整体绩效自评报告、</w:t>
      </w:r>
      <w:r>
        <w:rPr>
          <w:rFonts w:hint="eastAsia" w:ascii="仿宋_GB2312" w:hAnsi="仿宋_GB2312" w:cs="仿宋_GB2312"/>
          <w:color w:val="auto"/>
          <w:sz w:val="32"/>
          <w:szCs w:val="32"/>
          <w:highlight w:val="none"/>
          <w:lang w:val="en-US" w:eastAsia="zh-CN"/>
        </w:rPr>
        <w:t>2022年残疾人康复救助</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cs="仿宋_GB2312"/>
          <w:color w:val="auto"/>
          <w:sz w:val="32"/>
          <w:szCs w:val="32"/>
          <w:highlight w:val="none"/>
          <w:lang w:eastAsia="zh-CN"/>
        </w:rPr>
        <w:t>市残联</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cs="仿宋_GB2312"/>
          <w:color w:val="auto"/>
          <w:sz w:val="32"/>
          <w:szCs w:val="32"/>
          <w:highlight w:val="none"/>
          <w:lang w:val="en-US" w:eastAsia="zh-CN"/>
        </w:rPr>
        <w:t>98.5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cs="仿宋_GB2312"/>
          <w:color w:val="auto"/>
          <w:sz w:val="32"/>
          <w:szCs w:val="32"/>
          <w:highlight w:val="none"/>
          <w:lang w:eastAsia="zh-CN"/>
        </w:rPr>
        <w:t>部门职能充分实现</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残疾人康复救助</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cs="仿宋_GB2312"/>
          <w:color w:val="auto"/>
          <w:sz w:val="32"/>
          <w:szCs w:val="32"/>
          <w:highlight w:val="none"/>
          <w:lang w:eastAsia="zh-CN"/>
        </w:rPr>
        <w:t>通过项目实施对残疾人儿童康复救助后，残疾人儿童自理能力提高，家长满意度提升</w:t>
      </w:r>
      <w:r>
        <w:rPr>
          <w:rFonts w:hint="eastAsia" w:ascii="仿宋_GB2312" w:hAnsi="仿宋_GB2312" w:eastAsia="仿宋_GB2312" w:cs="仿宋_GB2312"/>
          <w:color w:val="auto"/>
          <w:sz w:val="32"/>
          <w:szCs w:val="32"/>
          <w:highlight w:val="none"/>
        </w:rPr>
        <w:t>。绩效自评报告详见附件。</w:t>
      </w:r>
      <w:r>
        <w:rPr>
          <w:rFonts w:hint="eastAsia" w:ascii="仿宋_GB2312" w:hAnsi="仿宋_GB2312" w:eastAsia="仿宋_GB2312" w:cs="仿宋_GB2312"/>
          <w:b/>
          <w:color w:val="000000"/>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51" w:name="_Toc15377225"/>
      <w:bookmarkStart w:id="52" w:name="_Toc15396613"/>
      <w:bookmarkStart w:id="53" w:name="_Toc6447"/>
      <w:r>
        <w:rPr>
          <w:rFonts w:hint="eastAsia" w:ascii="黑体" w:hAnsi="黑体" w:eastAsia="黑体"/>
          <w:color w:val="000000"/>
          <w:sz w:val="44"/>
          <w:szCs w:val="44"/>
        </w:rPr>
        <w:t>名</w:t>
      </w:r>
      <w:r>
        <w:rPr>
          <w:rStyle w:val="17"/>
          <w:rFonts w:hint="eastAsia" w:ascii="黑体" w:hAnsi="黑体" w:eastAsia="黑体"/>
          <w:b w:val="0"/>
        </w:rPr>
        <w:t>词解释</w:t>
      </w:r>
      <w:bookmarkEnd w:id="51"/>
      <w:bookmarkEnd w:id="52"/>
      <w:bookmarkEnd w:id="53"/>
    </w:p>
    <w:p>
      <w:pPr>
        <w:spacing w:line="600" w:lineRule="exact"/>
        <w:jc w:val="left"/>
        <w:rPr>
          <w:rFonts w:ascii="宋体"/>
          <w:b/>
          <w:color w:val="000000"/>
          <w:sz w:val="44"/>
          <w:szCs w:val="44"/>
        </w:rPr>
      </w:pPr>
    </w:p>
    <w:p>
      <w:pPr>
        <w:pStyle w:val="20"/>
        <w:spacing w:line="560" w:lineRule="exact"/>
        <w:ind w:firstLine="640" w:firstLineChars="200"/>
        <w:rPr>
          <w:rFonts w:ascii="仿宋_GB2312" w:eastAsia="仿宋_GB2312"/>
          <w:sz w:val="32"/>
          <w:szCs w:val="32"/>
        </w:rPr>
      </w:pPr>
      <w:bookmarkStart w:id="54" w:name="_Toc15396614"/>
      <w:bookmarkStart w:id="55" w:name="_Toc17220"/>
      <w:bookmarkStart w:id="5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4.社会保障和就业（类）行政事业单位养老（款）行政单位离退休（项）：指反映实行归口管理的行政单位（包括实行公务员管理的事业单位）开支的离退休经费。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5.社会保障和就业（类）行政事业单位养老（款）事业单位离退休（项）：指反映实行归口管理的事业单位开支的离退休经费。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6.社会保障和就业（类）行政事业单位养老（款）机关事业单位基本养老保险缴费支出（项）：指反映机关事业单位实施养老保险制度由单位缴纳的基本养老保险费支出。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7.社会保障和就业（类）行政事业单位养老（款）机关事业单位职业年金缴费支出（项）：指反映机关事业单位实施养老保险制度由单位实际缴纳的职业年金支出。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8.社会保障和就业（类）残疾人事业（款）行政运行（项）：指反映行政单位（包括实行公务员管理的事业单位）的基本支出。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社会保障和就业（类）残疾人事业（款）机关服务（项）：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10.社会保障和就业（类）残疾人事业（款）残疾人康复（项）：指反映残疾人联合会用于残疾人康复方面的支出。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11.社会保障和就业（类）残疾人事业（款）残疾人就业和扶贫（项）：指反映残疾人联合会用于残疾人就业和扶贫等方面的支出。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12.社会保障和就业（类）残疾人事业（款）残疾人体育（项）：指反映残疾人联合会用于残疾人体育方面的支出。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13.社会保障和就业（类）残疾人事业（款）其他残疾人事业支出（项）：指反映上述项目以外其他用于残疾人事业方面的支出。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卫生健康支出（类）行政事业单位医疗（款）事业单位医疗（项）：指反映财政部门集中安排的事业单位基本医疗保险缴费经费，未参加医疗保险的行政单位的公费医疗经费，按国家规定享受离休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17.其他支出（类）彩票公益金安排的支出（款）用于社会福利的彩票公益金支出（项）：指反映用于残疾人事业的彩票公益金支出。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18.其他支出（类）彩票公益金安排的支出（款）用于体育事业的彩票公益金支出（项）：指反映用于体育事业的彩票公益金支出。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19.基本支出：指为保障机构正常运转、完成日常工作任务而发生的人员支出和公用支出。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20.项目支出：指在基本支出之外为完成特定行政任务和事业发展目标所发生的支出。 </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numPr>
          <w:ilvl w:val="0"/>
          <w:numId w:val="3"/>
        </w:numPr>
        <w:spacing w:line="600" w:lineRule="exact"/>
        <w:ind w:left="0" w:leftChars="0" w:firstLine="660" w:firstLineChars="150"/>
        <w:jc w:val="both"/>
        <w:outlineLvl w:val="0"/>
        <w:rPr>
          <w:rStyle w:val="17"/>
          <w:rFonts w:hint="eastAsia" w:ascii="黑体" w:hAnsi="黑体" w:eastAsia="黑体"/>
          <w:b w:val="0"/>
        </w:rPr>
      </w:pPr>
      <w:r>
        <w:rPr>
          <w:rStyle w:val="17"/>
          <w:rFonts w:hint="eastAsia" w:ascii="黑体" w:hAnsi="黑体" w:eastAsia="黑体"/>
          <w:b w:val="0"/>
        </w:rPr>
        <w:t>附件</w:t>
      </w:r>
      <w:bookmarkEnd w:id="54"/>
      <w:bookmarkEnd w:id="55"/>
    </w:p>
    <w:p>
      <w:pPr>
        <w:pStyle w:val="7"/>
        <w:numPr>
          <w:ilvl w:val="0"/>
          <w:numId w:val="0"/>
        </w:numPr>
        <w:rPr>
          <w:rFonts w:hint="eastAsia"/>
          <w:lang w:val="en-US" w:eastAsia="zh-CN"/>
        </w:rPr>
      </w:pPr>
      <w:r>
        <w:rPr>
          <w:rFonts w:hint="eastAsia"/>
          <w:lang w:val="en-US" w:eastAsia="zh-CN"/>
        </w:rPr>
        <w:t xml:space="preserve"> </w:t>
      </w:r>
    </w:p>
    <w:p>
      <w:pPr>
        <w:spacing w:line="600" w:lineRule="exact"/>
        <w:jc w:val="center"/>
        <w:rPr>
          <w:rFonts w:hint="eastAsia" w:ascii="方正小标宋简体" w:hAnsi="宋体" w:eastAsia="方正小标宋简体"/>
          <w:color w:val="000000"/>
          <w:kern w:val="0"/>
          <w:sz w:val="44"/>
          <w:szCs w:val="44"/>
          <w:lang w:val="zh-CN"/>
        </w:rPr>
      </w:pPr>
      <w:r>
        <w:rPr>
          <w:rFonts w:hint="eastAsia"/>
          <w:lang w:val="en-US" w:eastAsia="zh-CN"/>
        </w:rPr>
        <w:t xml:space="preserve">    </w:t>
      </w:r>
      <w:r>
        <w:rPr>
          <w:rFonts w:hint="eastAsia" w:ascii="方正小标宋简体" w:hAnsi="宋体" w:eastAsia="方正小标宋简体"/>
          <w:color w:val="000000"/>
          <w:kern w:val="0"/>
          <w:sz w:val="44"/>
          <w:szCs w:val="44"/>
          <w:lang w:val="zh-CN"/>
        </w:rPr>
        <w:t>自贡市残疾人联合会</w:t>
      </w: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lang w:val="zh-CN"/>
        </w:rPr>
        <w:t>年部门整体支出绩效评价报告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pStyle w:val="7"/>
        <w:numPr>
          <w:ilvl w:val="0"/>
          <w:numId w:val="0"/>
        </w:numPr>
        <w:adjustRightInd w:val="0"/>
        <w:snapToGrid w:val="0"/>
        <w:spacing w:before="174" w:beforeLines="30" w:line="560" w:lineRule="exact"/>
        <w:ind w:firstLine="640" w:firstLineChars="200"/>
        <w:jc w:val="both"/>
        <w:outlineLvl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自贡市残疾人联合会为</w:t>
      </w:r>
      <w:r>
        <w:rPr>
          <w:rFonts w:hint="eastAsia" w:hAnsi="宋体" w:cs="宋体"/>
          <w:color w:val="000000"/>
          <w:kern w:val="0"/>
          <w:sz w:val="32"/>
          <w:szCs w:val="32"/>
          <w:shd w:val="clear" w:color="auto" w:fill="FFFFFF"/>
          <w:lang w:val="zh-CN" w:eastAsia="zh-CN" w:bidi="ar-SA"/>
        </w:rPr>
        <w:t>正</w:t>
      </w:r>
      <w:r>
        <w:rPr>
          <w:rFonts w:hint="eastAsia" w:ascii="仿宋_GB2312" w:hAnsi="宋体" w:eastAsia="仿宋_GB2312" w:cs="宋体"/>
          <w:color w:val="000000"/>
          <w:kern w:val="0"/>
          <w:sz w:val="32"/>
          <w:szCs w:val="32"/>
          <w:shd w:val="clear" w:color="auto" w:fill="FFFFFF"/>
          <w:lang w:val="zh-CN" w:eastAsia="zh-CN" w:bidi="ar-SA"/>
        </w:rPr>
        <w:t>县级参照公务员管理的事业单位，下属一个事业单位：自贡市残疾人综合服务中心</w:t>
      </w:r>
      <w:r>
        <w:rPr>
          <w:rFonts w:hint="eastAsia" w:hAnsi="宋体" w:cs="宋体"/>
          <w:color w:val="000000"/>
          <w:kern w:val="0"/>
          <w:sz w:val="32"/>
          <w:szCs w:val="32"/>
          <w:shd w:val="clear" w:color="auto" w:fill="FFFFFF"/>
          <w:lang w:val="zh-CN" w:eastAsia="zh-CN" w:bidi="ar-SA"/>
        </w:rPr>
        <w:t>。</w:t>
      </w:r>
      <w:r>
        <w:rPr>
          <w:rFonts w:hint="eastAsia" w:ascii="仿宋_GB2312" w:hAnsi="宋体" w:eastAsia="仿宋_GB2312" w:cs="宋体"/>
          <w:color w:val="000000"/>
          <w:kern w:val="0"/>
          <w:sz w:val="32"/>
          <w:szCs w:val="32"/>
          <w:shd w:val="clear" w:color="auto" w:fill="FFFFFF"/>
          <w:lang w:val="zh-CN" w:eastAsia="zh-CN" w:bidi="ar-SA"/>
        </w:rPr>
        <w:t>本会内设机构有：办公室、康复科、教育就业科、维权宣文科共四个科室。</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机构职能</w:t>
      </w:r>
      <w:r>
        <w:rPr>
          <w:rFonts w:hint="eastAsia" w:ascii="仿宋_GB2312" w:hAnsi="宋体" w:cs="宋体"/>
          <w:b/>
          <w:bCs/>
          <w:color w:val="000000"/>
          <w:kern w:val="0"/>
          <w:sz w:val="32"/>
          <w:szCs w:val="32"/>
          <w:shd w:val="clear" w:color="auto" w:fill="FFFFFF"/>
          <w:lang w:val="zh-CN"/>
        </w:rPr>
        <w:t>和人员概况</w:t>
      </w:r>
      <w:r>
        <w:rPr>
          <w:rFonts w:hint="eastAsia" w:ascii="仿宋_GB2312" w:hAnsi="宋体" w:eastAsia="仿宋_GB2312" w:cs="宋体"/>
          <w:b/>
          <w:bCs/>
          <w:color w:val="000000"/>
          <w:kern w:val="0"/>
          <w:sz w:val="32"/>
          <w:szCs w:val="32"/>
          <w:shd w:val="clear" w:color="auto" w:fill="FFFFFF"/>
          <w:lang w:val="zh-CN"/>
        </w:rPr>
        <w:t>。</w:t>
      </w:r>
    </w:p>
    <w:p>
      <w:pPr>
        <w:pStyle w:val="7"/>
        <w:keepNext w:val="0"/>
        <w:keepLines w:val="0"/>
        <w:pageBreakBefore w:val="0"/>
        <w:widowControl w:val="0"/>
        <w:kinsoku/>
        <w:wordWrap/>
        <w:overflowPunct/>
        <w:topLinePunct w:val="0"/>
        <w:autoSpaceDE/>
        <w:autoSpaceDN/>
        <w:bidi w:val="0"/>
        <w:adjustRightInd w:val="0"/>
        <w:snapToGrid w:val="0"/>
        <w:spacing w:before="93" w:line="240" w:lineRule="auto"/>
        <w:ind w:firstLine="640" w:firstLineChars="200"/>
        <w:textAlignment w:val="auto"/>
        <w:outlineLvl w:val="2"/>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1.密切联系残疾人，听取残疾人的意见，反映残疾人的需求，代表残疾人的共同利益，维护残疾人的合法权益，全心全意为残疾人服务。</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2.团结广大残疾人，教育残疾人遵守法律，履行应尽的义务，发扬乐观进取精神，自尊、自信、自强、自重，为社会主义现代化建设贡献力量。</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3.沟通政府、社会与残疾人之问的联系，弘扬人道主义精神，宣传残疾人事业，动员全社会理解、尊重、关心和帮助残疾人。</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4.开展和促进残疾人康复、扶贫、教育、劳动就业、文化生活、福利、社会服务、无障碍设施和残疾预防等工作，改善残疾人参与社会生活的环境和条件。</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5.协助政府研究、制定和实施有关残疾人事业的政策、规划和计划，发挥综合、协调、咨询、服务作用，对相关业务进行管理和指导。</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6.协助区县党委考察区县残联领导班子和做好对残联干部的管理工作；负责培训各区县和企事业单位残联干部，加强残联干部队伍建设；指导全市企事业单位残疾人工作。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7.组织实施我市按比例安排残疾人就业工作；指导和宏观管理残联系统的残疾人福利企业，会同有关部门制定和监督实施残疾人福利生产的扶持保护政策。</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cs="仿宋_GB2312"/>
          <w:kern w:val="0"/>
          <w:sz w:val="32"/>
          <w:szCs w:val="32"/>
          <w:lang w:val="en-US" w:eastAsia="zh-CN" w:bidi="ar-SA"/>
        </w:rPr>
        <w:t>8.负责对各类残疾人社会团体组织和经济组织进行监督管理；统筹开展为残疾人事业募捐工作及其活动；开展残疾人事业对外交流与合作。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9.承担市政府残疾人工作协调委员会的日常工作。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10.承办市政府及省残联交办的其他事项。</w:t>
      </w:r>
    </w:p>
    <w:p>
      <w:pPr>
        <w:pStyle w:val="2"/>
        <w:rPr>
          <w:rFonts w:hint="eastAsia"/>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baseline"/>
        <w:rPr>
          <w:rFonts w:eastAsia="楷体_GB2312"/>
          <w:b w:val="0"/>
          <w:bCs/>
          <w:color w:val="000000"/>
          <w:kern w:val="0"/>
          <w:shd w:val="clear" w:color="auto" w:fill="FFFFFF"/>
          <w:lang w:val="zh-CN" w:eastAsia="zh-CN"/>
        </w:rPr>
      </w:pPr>
      <w:r>
        <w:rPr>
          <w:rStyle w:val="15"/>
          <w:rFonts w:hint="eastAsia" w:ascii="Times New Roman" w:hAnsi="Times New Roman" w:eastAsia="仿宋_GB2312" w:cs="Times New Roman"/>
          <w:b w:val="0"/>
          <w:i w:val="0"/>
          <w:caps w:val="0"/>
          <w:spacing w:val="0"/>
          <w:w w:val="100"/>
          <w:kern w:val="2"/>
          <w:sz w:val="32"/>
          <w:szCs w:val="24"/>
          <w:lang w:val="en-US" w:eastAsia="zh-CN" w:bidi="ar-SA"/>
        </w:rPr>
        <w:t>市残联人员编制数34人，其中：参照公务员法管理事业人员13人、事业编制人数21人。2021年年末实有在职在编数27人，其中：参照公务员法管理事业人员11人、事业人员16人。</w:t>
      </w: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auto"/>
          <w:lang w:val="zh-CN"/>
        </w:rPr>
      </w:pPr>
      <w:r>
        <w:rPr>
          <w:rFonts w:hint="eastAsia" w:ascii="楷体_GB2312" w:hAnsi="楷体_GB2312" w:eastAsia="楷体_GB2312" w:cs="楷体_GB2312"/>
          <w:b/>
          <w:bCs/>
          <w:color w:val="000000"/>
          <w:kern w:val="0"/>
          <w:sz w:val="32"/>
          <w:szCs w:val="32"/>
          <w:highlight w:val="none"/>
          <w:shd w:val="clear" w:color="auto" w:fill="auto"/>
          <w:lang w:val="zh-CN"/>
        </w:rPr>
        <w:t>年度主要工作任务。</w:t>
      </w:r>
    </w:p>
    <w:p>
      <w:pPr>
        <w:pStyle w:val="2"/>
        <w:numPr>
          <w:ilvl w:val="0"/>
          <w:numId w:val="0"/>
        </w:numPr>
        <w:ind w:firstLine="960" w:firstLineChars="300"/>
        <w:rPr>
          <w:rFonts w:hint="default" w:eastAsia="仿宋_GB2312"/>
          <w:lang w:val="en-US" w:eastAsia="zh-CN"/>
        </w:rPr>
      </w:pPr>
      <w:r>
        <w:rPr>
          <w:rStyle w:val="15"/>
          <w:rFonts w:hint="eastAsia" w:ascii="Times New Roman" w:hAnsi="Times New Roman" w:cs="Times New Roman"/>
          <w:b w:val="0"/>
          <w:i w:val="0"/>
          <w:caps w:val="0"/>
          <w:spacing w:val="0"/>
          <w:w w:val="100"/>
          <w:kern w:val="2"/>
          <w:sz w:val="32"/>
          <w:szCs w:val="24"/>
          <w:lang w:val="en-US" w:eastAsia="zh-CN" w:bidi="ar-SA"/>
        </w:rPr>
        <w:t>学习宣传贯彻自贡市第十三次党代会精神</w:t>
      </w:r>
      <w:r>
        <w:rPr>
          <w:rStyle w:val="15"/>
          <w:rFonts w:hint="default" w:ascii="Times New Roman" w:hAnsi="Times New Roman" w:cs="Times New Roman"/>
          <w:b w:val="0"/>
          <w:i w:val="0"/>
          <w:caps w:val="0"/>
          <w:spacing w:val="0"/>
          <w:w w:val="100"/>
          <w:kern w:val="2"/>
          <w:sz w:val="32"/>
          <w:szCs w:val="24"/>
          <w:lang w:val="en-US" w:eastAsia="zh-CN" w:bidi="ar-SA"/>
        </w:rPr>
        <w:t>，</w:t>
      </w:r>
      <w:r>
        <w:rPr>
          <w:rStyle w:val="15"/>
          <w:rFonts w:hint="eastAsia" w:ascii="Times New Roman" w:hAnsi="Times New Roman" w:cs="Times New Roman"/>
          <w:b w:val="0"/>
          <w:i w:val="0"/>
          <w:caps w:val="0"/>
          <w:spacing w:val="0"/>
          <w:w w:val="100"/>
          <w:kern w:val="2"/>
          <w:sz w:val="32"/>
          <w:szCs w:val="24"/>
          <w:lang w:val="en-US" w:eastAsia="zh-CN" w:bidi="ar-SA"/>
        </w:rPr>
        <w:t>持续提高基础残联组织服务能力，及时响应残疾人服务需求，提高残疾人就业创业水平，落实特殊教育扶持政策，筑牢残疾人社会兜底保障网，丰富残疾人文化体育内涵，提高依法治理能力维护残疾人合法权益，纵深推进全面从严治党，防范化解重大风险。</w:t>
      </w:r>
      <w:r>
        <w:rPr>
          <w:rFonts w:hint="eastAsia"/>
          <w:lang w:val="en-US" w:eastAsia="zh-CN"/>
        </w:rPr>
        <w:t xml:space="preserve">      </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部门整体支出绩效目标。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Style w:val="15"/>
          <w:rFonts w:hint="eastAsia" w:ascii="Times New Roman" w:hAnsi="Times New Roman" w:cs="Times New Roman"/>
          <w:b w:val="0"/>
          <w:i w:val="0"/>
          <w:caps w:val="0"/>
          <w:spacing w:val="0"/>
          <w:w w:val="100"/>
          <w:kern w:val="2"/>
          <w:sz w:val="32"/>
          <w:szCs w:val="24"/>
          <w:lang w:val="en-US" w:eastAsia="zh-CN" w:bidi="ar-SA"/>
        </w:rPr>
        <w:t xml:space="preserve">为符合条件残疾人儿童提供康复救助，并依托第三方对康复救助项目进行效果评估；给予超比例安置残疾人就业用人单位奖励，发放残疾人技能竞赛奖金；开展组织“温暖万家行”活动，组织慰问困难、重度残疾人家庭；提供残疾学生和困难残疾子女助学补助，支持发展残疾人职业高中教育；开展信访维稳，维护残疾人合法权益；开展残疾人法律援助，进行贫困残疾人特殊困难临时救助；开展“量体裁衣”服务工作调研；开展400名贫困精神残疾患者服药救助；培养残疾人体育、文化艺术人才，组织残疾人事业对外宣传报道；补助五类残疾人专门协会工作经费；提供电子商务、盲人按摩医师继续教育培训；举报残疾人就业双选会、招聘会等就业服务。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w:t>
      </w:r>
      <w:r>
        <w:rPr>
          <w:rFonts w:hint="eastAsia" w:ascii="黑体" w:hAnsi="宋体" w:eastAsia="黑体" w:cs="宋体"/>
          <w:color w:val="000000"/>
          <w:kern w:val="0"/>
          <w:sz w:val="32"/>
          <w:szCs w:val="32"/>
          <w:highlight w:val="none"/>
          <w:shd w:val="clear" w:color="auto" w:fill="FFFFFF"/>
          <w:lang w:eastAsia="zh-CN"/>
        </w:rPr>
        <w:t>部门</w:t>
      </w:r>
      <w:r>
        <w:rPr>
          <w:rFonts w:hint="eastAsia" w:ascii="黑体" w:hAnsi="宋体" w:eastAsia="黑体" w:cs="宋体"/>
          <w:color w:val="000000"/>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firstLine="640" w:firstLineChars="200"/>
        <w:jc w:val="both"/>
        <w:textAlignment w:val="baseline"/>
        <w:rPr>
          <w:rFonts w:hint="eastAsia"/>
          <w:lang w:val="en-US" w:eastAsia="zh-CN"/>
        </w:rPr>
      </w:pPr>
      <w:r>
        <w:rPr>
          <w:rStyle w:val="15"/>
          <w:rFonts w:hint="default" w:ascii="Times New Roman" w:hAnsi="Times New Roman" w:eastAsia="仿宋_GB2312" w:cs="Times New Roman"/>
          <w:b w:val="0"/>
          <w:i w:val="0"/>
          <w:caps w:val="0"/>
          <w:spacing w:val="0"/>
          <w:w w:val="100"/>
          <w:kern w:val="2"/>
          <w:sz w:val="32"/>
          <w:szCs w:val="24"/>
          <w:lang w:val="en-US" w:eastAsia="zh-CN" w:bidi="ar-SA"/>
        </w:rPr>
        <w:t>202</w:t>
      </w:r>
      <w:r>
        <w:rPr>
          <w:rStyle w:val="15"/>
          <w:rFonts w:hint="eastAsia" w:ascii="Times New Roman" w:hAnsi="Times New Roman" w:cs="Times New Roman"/>
          <w:b w:val="0"/>
          <w:i w:val="0"/>
          <w:caps w:val="0"/>
          <w:spacing w:val="0"/>
          <w:w w:val="100"/>
          <w:kern w:val="2"/>
          <w:sz w:val="32"/>
          <w:szCs w:val="24"/>
          <w:lang w:val="en-US" w:eastAsia="zh-CN" w:bidi="ar-SA"/>
        </w:rPr>
        <w:t>2</w:t>
      </w:r>
      <w:r>
        <w:rPr>
          <w:rStyle w:val="15"/>
          <w:rFonts w:hint="default" w:ascii="Times New Roman" w:hAnsi="Times New Roman" w:eastAsia="仿宋_GB2312" w:cs="Times New Roman"/>
          <w:b w:val="0"/>
          <w:i w:val="0"/>
          <w:caps w:val="0"/>
          <w:spacing w:val="0"/>
          <w:w w:val="100"/>
          <w:kern w:val="2"/>
          <w:sz w:val="32"/>
          <w:szCs w:val="24"/>
          <w:lang w:val="en-US" w:eastAsia="zh-CN" w:bidi="ar-SA"/>
        </w:rPr>
        <w:t>年</w:t>
      </w:r>
      <w:r>
        <w:rPr>
          <w:rStyle w:val="15"/>
          <w:rFonts w:hint="default" w:ascii="Times New Roman" w:hAnsi="Times New Roman" w:cs="Times New Roman"/>
          <w:b w:val="0"/>
          <w:i w:val="0"/>
          <w:caps w:val="0"/>
          <w:spacing w:val="0"/>
          <w:w w:val="100"/>
          <w:kern w:val="2"/>
          <w:sz w:val="32"/>
          <w:szCs w:val="24"/>
          <w:lang w:val="en-US" w:eastAsia="zh-CN" w:bidi="ar-SA"/>
        </w:rPr>
        <w:t>，</w:t>
      </w:r>
      <w:r>
        <w:rPr>
          <w:rStyle w:val="15"/>
          <w:rFonts w:hint="default" w:ascii="Times New Roman" w:hAnsi="Times New Roman" w:eastAsia="仿宋_GB2312" w:cs="Times New Roman"/>
          <w:b w:val="0"/>
          <w:i w:val="0"/>
          <w:caps w:val="0"/>
          <w:spacing w:val="0"/>
          <w:w w:val="100"/>
          <w:kern w:val="2"/>
          <w:sz w:val="32"/>
          <w:szCs w:val="24"/>
          <w:lang w:val="en-US" w:eastAsia="zh-CN" w:bidi="ar-SA"/>
        </w:rPr>
        <w:t>总收入</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万元，全部为财政拨款收入。其中：年初结转和结余</w:t>
      </w:r>
      <w:r>
        <w:rPr>
          <w:rStyle w:val="15"/>
          <w:rFonts w:hint="eastAsia" w:ascii="Times New Roman" w:hAnsi="Times New Roman" w:cs="Times New Roman"/>
          <w:b w:val="0"/>
          <w:i w:val="0"/>
          <w:caps w:val="0"/>
          <w:spacing w:val="0"/>
          <w:w w:val="100"/>
          <w:kern w:val="2"/>
          <w:sz w:val="32"/>
          <w:szCs w:val="24"/>
          <w:lang w:val="en-US" w:eastAsia="zh-CN" w:bidi="ar-SA"/>
        </w:rPr>
        <w:t>0</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万元；本年收入合计</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部门总体支出情况</w:t>
      </w:r>
    </w:p>
    <w:p>
      <w:pPr>
        <w:pStyle w:val="2"/>
        <w:numPr>
          <w:ilvl w:val="0"/>
          <w:numId w:val="0"/>
        </w:numPr>
        <w:ind w:firstLine="640" w:firstLineChars="200"/>
        <w:rPr>
          <w:rFonts w:hint="eastAsia"/>
          <w:lang w:val="en-US" w:eastAsia="zh-CN"/>
        </w:rPr>
      </w:pPr>
      <w:r>
        <w:rPr>
          <w:rStyle w:val="15"/>
          <w:rFonts w:hint="default" w:ascii="Times New Roman" w:hAnsi="Times New Roman" w:eastAsia="仿宋_GB2312" w:cs="Times New Roman"/>
          <w:b w:val="0"/>
          <w:i w:val="0"/>
          <w:caps w:val="0"/>
          <w:spacing w:val="0"/>
          <w:w w:val="100"/>
          <w:kern w:val="2"/>
          <w:sz w:val="32"/>
          <w:szCs w:val="24"/>
          <w:lang w:val="en-US" w:eastAsia="zh-CN" w:bidi="ar-SA"/>
        </w:rPr>
        <w:t>202</w:t>
      </w:r>
      <w:r>
        <w:rPr>
          <w:rStyle w:val="15"/>
          <w:rFonts w:hint="default" w:ascii="Times New Roman" w:hAnsi="Times New Roman" w:cs="Times New Roman"/>
          <w:b w:val="0"/>
          <w:i w:val="0"/>
          <w:caps w:val="0"/>
          <w:spacing w:val="0"/>
          <w:w w:val="100"/>
          <w:kern w:val="2"/>
          <w:sz w:val="32"/>
          <w:szCs w:val="24"/>
          <w:lang w:val="en-US" w:eastAsia="zh-CN" w:bidi="ar-SA"/>
        </w:rPr>
        <w:t>1</w:t>
      </w:r>
      <w:r>
        <w:rPr>
          <w:rStyle w:val="15"/>
          <w:rFonts w:hint="default" w:ascii="Times New Roman" w:hAnsi="Times New Roman" w:eastAsia="仿宋_GB2312" w:cs="Times New Roman"/>
          <w:b w:val="0"/>
          <w:i w:val="0"/>
          <w:caps w:val="0"/>
          <w:spacing w:val="0"/>
          <w:w w:val="100"/>
          <w:kern w:val="2"/>
          <w:sz w:val="32"/>
          <w:szCs w:val="24"/>
          <w:lang w:val="en-US" w:eastAsia="zh-CN" w:bidi="ar-SA"/>
        </w:rPr>
        <w:t>年，总支出</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万元。其中，本年支出合计</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万元；年末结转和结余</w:t>
      </w:r>
      <w:r>
        <w:rPr>
          <w:rStyle w:val="15"/>
          <w:rFonts w:hint="default" w:ascii="Times New Roman" w:hAnsi="Times New Roman" w:cs="Times New Roman"/>
          <w:b w:val="0"/>
          <w:i w:val="0"/>
          <w:caps w:val="0"/>
          <w:spacing w:val="0"/>
          <w:w w:val="100"/>
          <w:kern w:val="2"/>
          <w:sz w:val="32"/>
          <w:szCs w:val="24"/>
          <w:lang w:val="en-US" w:eastAsia="zh-CN" w:bidi="ar-SA"/>
        </w:rPr>
        <w:t>0</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firstLine="640" w:firstLineChars="200"/>
        <w:jc w:val="both"/>
        <w:textAlignment w:val="baseline"/>
        <w:rPr>
          <w:rFonts w:hint="default" w:ascii="Times New Roman" w:hAnsi="Times New Roman" w:cs="Times New Roman"/>
          <w:lang w:val="zh-CN" w:eastAsia="zh-CN"/>
        </w:rPr>
      </w:pPr>
      <w:r>
        <w:rPr>
          <w:rStyle w:val="15"/>
          <w:rFonts w:hint="default" w:ascii="Times New Roman" w:hAnsi="Times New Roman" w:eastAsia="仿宋_GB2312" w:cs="Times New Roman"/>
          <w:b w:val="0"/>
          <w:i w:val="0"/>
          <w:caps w:val="0"/>
          <w:spacing w:val="0"/>
          <w:w w:val="100"/>
          <w:kern w:val="2"/>
          <w:sz w:val="32"/>
          <w:szCs w:val="24"/>
          <w:lang w:val="en-US" w:eastAsia="zh-CN" w:bidi="ar-SA"/>
        </w:rPr>
        <w:t>202</w:t>
      </w:r>
      <w:r>
        <w:rPr>
          <w:rStyle w:val="15"/>
          <w:rFonts w:hint="eastAsia" w:ascii="Times New Roman" w:hAnsi="Times New Roman" w:cs="Times New Roman"/>
          <w:b w:val="0"/>
          <w:i w:val="0"/>
          <w:caps w:val="0"/>
          <w:spacing w:val="0"/>
          <w:w w:val="100"/>
          <w:kern w:val="2"/>
          <w:sz w:val="32"/>
          <w:szCs w:val="24"/>
          <w:lang w:val="en-US" w:eastAsia="zh-CN" w:bidi="ar-SA"/>
        </w:rPr>
        <w:t>2</w:t>
      </w:r>
      <w:r>
        <w:rPr>
          <w:rStyle w:val="15"/>
          <w:rFonts w:hint="default" w:ascii="Times New Roman" w:hAnsi="Times New Roman" w:eastAsia="仿宋_GB2312" w:cs="Times New Roman"/>
          <w:b w:val="0"/>
          <w:i w:val="0"/>
          <w:caps w:val="0"/>
          <w:spacing w:val="0"/>
          <w:w w:val="100"/>
          <w:kern w:val="2"/>
          <w:sz w:val="32"/>
          <w:szCs w:val="24"/>
          <w:lang w:val="en-US" w:eastAsia="zh-CN" w:bidi="ar-SA"/>
        </w:rPr>
        <w:t>年</w:t>
      </w:r>
      <w:r>
        <w:rPr>
          <w:rStyle w:val="15"/>
          <w:rFonts w:hint="default" w:ascii="Times New Roman" w:hAnsi="Times New Roman" w:cs="Times New Roman"/>
          <w:b w:val="0"/>
          <w:i w:val="0"/>
          <w:caps w:val="0"/>
          <w:spacing w:val="0"/>
          <w:w w:val="100"/>
          <w:kern w:val="2"/>
          <w:sz w:val="32"/>
          <w:szCs w:val="24"/>
          <w:lang w:val="en-US" w:eastAsia="zh-CN" w:bidi="ar-SA"/>
        </w:rPr>
        <w:t>，</w:t>
      </w:r>
      <w:r>
        <w:rPr>
          <w:rStyle w:val="15"/>
          <w:rFonts w:hint="eastAsia" w:ascii="Times New Roman" w:hAnsi="Times New Roman" w:cs="Times New Roman"/>
          <w:b w:val="0"/>
          <w:i w:val="0"/>
          <w:caps w:val="0"/>
          <w:spacing w:val="0"/>
          <w:w w:val="100"/>
          <w:kern w:val="2"/>
          <w:sz w:val="32"/>
          <w:szCs w:val="24"/>
          <w:lang w:val="en-US" w:eastAsia="zh-CN" w:bidi="ar-SA"/>
        </w:rPr>
        <w:t>财政拨款总收入1071.54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万元，其中：</w:t>
      </w:r>
      <w:r>
        <w:rPr>
          <w:rStyle w:val="15"/>
          <w:rFonts w:hint="eastAsia" w:ascii="Times New Roman" w:hAnsi="Times New Roman" w:cs="Times New Roman"/>
          <w:b w:val="0"/>
          <w:i w:val="0"/>
          <w:caps w:val="0"/>
          <w:spacing w:val="0"/>
          <w:w w:val="100"/>
          <w:kern w:val="2"/>
          <w:sz w:val="32"/>
          <w:szCs w:val="24"/>
          <w:lang w:val="en-US" w:eastAsia="zh-CN" w:bidi="ar-SA"/>
        </w:rPr>
        <w:t>一般公共财政拨款收入943.28万元，政府性基金预算财政拨款收入128.26万元，</w:t>
      </w:r>
      <w:r>
        <w:rPr>
          <w:rStyle w:val="15"/>
          <w:rFonts w:hint="default" w:ascii="Times New Roman" w:hAnsi="Times New Roman" w:eastAsia="仿宋_GB2312" w:cs="Times New Roman"/>
          <w:b w:val="0"/>
          <w:i w:val="0"/>
          <w:caps w:val="0"/>
          <w:spacing w:val="0"/>
          <w:w w:val="100"/>
          <w:kern w:val="2"/>
          <w:sz w:val="32"/>
          <w:szCs w:val="24"/>
          <w:lang w:val="en-US" w:eastAsia="zh-CN" w:bidi="ar-SA"/>
        </w:rPr>
        <w:t>年初结转和结余</w:t>
      </w:r>
      <w:r>
        <w:rPr>
          <w:rStyle w:val="15"/>
          <w:rFonts w:hint="eastAsia" w:ascii="Times New Roman" w:hAnsi="Times New Roman" w:cs="Times New Roman"/>
          <w:b w:val="0"/>
          <w:i w:val="0"/>
          <w:caps w:val="0"/>
          <w:spacing w:val="0"/>
          <w:w w:val="100"/>
          <w:kern w:val="2"/>
          <w:sz w:val="32"/>
          <w:szCs w:val="24"/>
          <w:lang w:val="en-US" w:eastAsia="zh-CN" w:bidi="ar-SA"/>
        </w:rPr>
        <w:t>0</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万元；本年</w:t>
      </w:r>
      <w:r>
        <w:rPr>
          <w:rStyle w:val="15"/>
          <w:rFonts w:hint="eastAsia" w:ascii="Times New Roman" w:hAnsi="Times New Roman" w:cs="Times New Roman"/>
          <w:b w:val="0"/>
          <w:i w:val="0"/>
          <w:caps w:val="0"/>
          <w:spacing w:val="0"/>
          <w:w w:val="100"/>
          <w:kern w:val="2"/>
          <w:sz w:val="32"/>
          <w:szCs w:val="24"/>
          <w:lang w:val="en-US" w:eastAsia="zh-CN" w:bidi="ar-SA"/>
        </w:rPr>
        <w:t>财政拨款总</w:t>
      </w:r>
      <w:r>
        <w:rPr>
          <w:rStyle w:val="15"/>
          <w:rFonts w:hint="default" w:ascii="Times New Roman" w:hAnsi="Times New Roman" w:eastAsia="仿宋_GB2312" w:cs="Times New Roman"/>
          <w:b w:val="0"/>
          <w:i w:val="0"/>
          <w:caps w:val="0"/>
          <w:spacing w:val="0"/>
          <w:w w:val="100"/>
          <w:kern w:val="2"/>
          <w:sz w:val="32"/>
          <w:szCs w:val="24"/>
          <w:lang w:val="en-US" w:eastAsia="zh-CN" w:bidi="ar-SA"/>
        </w:rPr>
        <w:t>收入合计</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cs="仿宋_GB2312"/>
          <w:b w:val="0"/>
          <w:bCs w:val="0"/>
          <w:color w:val="000000"/>
          <w:kern w:val="0"/>
          <w:sz w:val="32"/>
          <w:szCs w:val="32"/>
          <w:highlight w:val="none"/>
          <w:shd w:val="clear" w:color="auto" w:fill="FFFFFF"/>
          <w:lang w:val="en-US" w:eastAsia="zh-CN"/>
        </w:rPr>
        <w:t>2.</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部门财政拨款支出情况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firstLine="640" w:firstLineChars="200"/>
        <w:jc w:val="both"/>
        <w:textAlignment w:val="baseline"/>
        <w:rPr>
          <w:rFonts w:hint="default" w:ascii="Times New Roman" w:hAnsi="Times New Roman" w:cs="Times New Roman"/>
          <w:lang w:val="zh-CN" w:eastAsia="zh-CN"/>
        </w:rPr>
      </w:pPr>
      <w:r>
        <w:rPr>
          <w:rFonts w:hint="eastAsia"/>
          <w:lang w:val="en-US" w:eastAsia="zh-CN"/>
        </w:rPr>
        <w:t>2022年财政拨款总支出1071.54万元，其中财政拨款基本支出576.26万元，项目支出495.28万元。</w:t>
      </w:r>
      <w:r>
        <w:rPr>
          <w:rStyle w:val="15"/>
          <w:rFonts w:hint="default" w:ascii="Times New Roman" w:hAnsi="Times New Roman" w:eastAsia="仿宋_GB2312" w:cs="Times New Roman"/>
          <w:b w:val="0"/>
          <w:i w:val="0"/>
          <w:caps w:val="0"/>
          <w:spacing w:val="0"/>
          <w:w w:val="100"/>
          <w:kern w:val="2"/>
          <w:sz w:val="32"/>
          <w:szCs w:val="24"/>
          <w:lang w:val="en-US" w:eastAsia="zh-CN" w:bidi="ar-SA"/>
        </w:rPr>
        <w:t>本年</w:t>
      </w:r>
      <w:r>
        <w:rPr>
          <w:rStyle w:val="15"/>
          <w:rFonts w:hint="eastAsia" w:ascii="Times New Roman" w:hAnsi="Times New Roman" w:cs="Times New Roman"/>
          <w:b w:val="0"/>
          <w:i w:val="0"/>
          <w:caps w:val="0"/>
          <w:spacing w:val="0"/>
          <w:w w:val="100"/>
          <w:kern w:val="2"/>
          <w:sz w:val="32"/>
          <w:szCs w:val="24"/>
          <w:lang w:val="en-US" w:eastAsia="zh-CN" w:bidi="ar-SA"/>
        </w:rPr>
        <w:t>财政拨款总</w:t>
      </w:r>
      <w:r>
        <w:rPr>
          <w:rStyle w:val="15"/>
          <w:rFonts w:hint="default" w:ascii="Times New Roman" w:hAnsi="Times New Roman" w:eastAsia="仿宋_GB2312" w:cs="Times New Roman"/>
          <w:b w:val="0"/>
          <w:i w:val="0"/>
          <w:caps w:val="0"/>
          <w:spacing w:val="0"/>
          <w:w w:val="100"/>
          <w:kern w:val="2"/>
          <w:sz w:val="32"/>
          <w:szCs w:val="24"/>
          <w:lang w:val="en-US" w:eastAsia="zh-CN" w:bidi="ar-SA"/>
        </w:rPr>
        <w:t>收入合计</w:t>
      </w:r>
      <w:r>
        <w:rPr>
          <w:rStyle w:val="15"/>
          <w:rFonts w:hint="eastAsia" w:ascii="Times New Roman" w:hAnsi="Times New Roman" w:cs="Times New Roman"/>
          <w:b w:val="0"/>
          <w:i w:val="0"/>
          <w:caps w:val="0"/>
          <w:spacing w:val="0"/>
          <w:w w:val="100"/>
          <w:kern w:val="2"/>
          <w:sz w:val="32"/>
          <w:szCs w:val="24"/>
          <w:lang w:val="en-US" w:eastAsia="zh-CN" w:bidi="ar-SA"/>
        </w:rPr>
        <w:t>1071.54</w:t>
      </w:r>
      <w:r>
        <w:rPr>
          <w:rStyle w:val="15"/>
          <w:rFonts w:hint="default" w:ascii="Times New Roman" w:hAnsi="Times New Roman" w:eastAsia="仿宋_GB2312" w:cs="Times New Roman"/>
          <w:b w:val="0"/>
          <w:i w:val="0"/>
          <w:caps w:val="0"/>
          <w:spacing w:val="0"/>
          <w:w w:val="100"/>
          <w:kern w:val="2"/>
          <w:sz w:val="32"/>
          <w:szCs w:val="24"/>
          <w:lang w:val="en-US" w:eastAsia="zh-CN" w:bidi="ar-SA"/>
        </w:rPr>
        <w:t>万元。</w:t>
      </w:r>
    </w:p>
    <w:p>
      <w:pPr>
        <w:pStyle w:val="2"/>
        <w:numPr>
          <w:ilvl w:val="0"/>
          <w:numId w:val="0"/>
        </w:numPr>
        <w:ind w:leftChars="200"/>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w:t>
      </w:r>
      <w:r>
        <w:rPr>
          <w:rFonts w:hint="eastAsia" w:ascii="黑体" w:hAnsi="宋体" w:eastAsia="黑体" w:cs="宋体"/>
          <w:color w:val="000000"/>
          <w:kern w:val="0"/>
          <w:sz w:val="32"/>
          <w:szCs w:val="32"/>
          <w:highlight w:val="none"/>
          <w:u w:val="none"/>
          <w:shd w:val="clear" w:color="auto" w:fill="FFFFFF"/>
        </w:rPr>
        <w:t>部门整体绩效</w:t>
      </w:r>
      <w:r>
        <w:rPr>
          <w:rFonts w:hint="eastAsia" w:ascii="黑体" w:hAnsi="宋体" w:eastAsia="黑体" w:cs="宋体"/>
          <w:color w:val="000000"/>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1.人员类项目绩效分析</w:t>
      </w:r>
    </w:p>
    <w:p>
      <w:pPr>
        <w:pStyle w:val="2"/>
        <w:ind w:left="0" w:leftChars="0" w:firstLine="640" w:firstLineChars="200"/>
        <w:rPr>
          <w:rFonts w:hint="default"/>
          <w:lang w:val="en-US" w:eastAsia="zh-CN"/>
        </w:rPr>
      </w:pPr>
      <w:r>
        <w:rPr>
          <w:rFonts w:hint="eastAsia" w:ascii="仿宋_GB2312" w:hAnsi="宋体" w:cs="宋体"/>
          <w:color w:val="000000"/>
          <w:kern w:val="0"/>
          <w:sz w:val="32"/>
          <w:szCs w:val="32"/>
          <w:highlight w:val="none"/>
          <w:shd w:val="clear" w:color="auto" w:fill="FFFFFF"/>
          <w:lang w:val="zh-CN"/>
        </w:rPr>
        <w:t>人员类项目主要是部门人员经费运转保障项目，项目</w:t>
      </w:r>
      <w:r>
        <w:rPr>
          <w:rStyle w:val="15"/>
          <w:rFonts w:hint="default" w:ascii="Times New Roman" w:hAnsi="Times New Roman" w:eastAsia="仿宋_GB2312" w:cs="Times New Roman"/>
          <w:b w:val="0"/>
          <w:i w:val="0"/>
          <w:caps w:val="0"/>
          <w:color w:val="000000"/>
          <w:spacing w:val="0"/>
          <w:w w:val="100"/>
          <w:kern w:val="0"/>
          <w:sz w:val="32"/>
          <w:szCs w:val="32"/>
          <w:lang w:val="en-US" w:eastAsia="zh-CN" w:bidi="ar-SA"/>
        </w:rPr>
        <w:t>主要</w:t>
      </w:r>
      <w:r>
        <w:rPr>
          <w:rStyle w:val="15"/>
          <w:rFonts w:hint="eastAsia" w:ascii="Times New Roman" w:hAnsi="Times New Roman" w:cs="Times New Roman"/>
          <w:b w:val="0"/>
          <w:i w:val="0"/>
          <w:caps w:val="0"/>
          <w:color w:val="000000"/>
          <w:spacing w:val="0"/>
          <w:w w:val="100"/>
          <w:kern w:val="0"/>
          <w:sz w:val="32"/>
          <w:szCs w:val="32"/>
          <w:lang w:val="en-US" w:eastAsia="zh-CN" w:bidi="ar-SA"/>
        </w:rPr>
        <w:t>包括</w:t>
      </w:r>
      <w:r>
        <w:rPr>
          <w:rStyle w:val="15"/>
          <w:rFonts w:hint="default" w:ascii="Times New Roman" w:hAnsi="Times New Roman" w:eastAsia="仿宋_GB2312" w:cs="Times New Roman"/>
          <w:b w:val="0"/>
          <w:i w:val="0"/>
          <w:caps w:val="0"/>
          <w:color w:val="000000"/>
          <w:spacing w:val="0"/>
          <w:w w:val="100"/>
          <w:kern w:val="0"/>
          <w:sz w:val="32"/>
          <w:szCs w:val="32"/>
          <w:lang w:val="en-US" w:eastAsia="zh-CN" w:bidi="ar-SA"/>
        </w:rPr>
        <w:t>基本工资、津贴补贴、机关事业单位基本养老保险缴费、其他社会保障缴费、其他工资福利支出、离休费、退休费、抚恤金、住房公积金、其他对个人和家庭的补助支出等</w:t>
      </w:r>
      <w:r>
        <w:rPr>
          <w:rStyle w:val="15"/>
          <w:rFonts w:hint="eastAsia" w:ascii="Times New Roman" w:hAnsi="Times New Roman" w:cs="Times New Roman"/>
          <w:b w:val="0"/>
          <w:i w:val="0"/>
          <w:caps w:val="0"/>
          <w:color w:val="000000"/>
          <w:spacing w:val="0"/>
          <w:w w:val="100"/>
          <w:kern w:val="0"/>
          <w:sz w:val="32"/>
          <w:szCs w:val="32"/>
          <w:lang w:val="en-US" w:eastAsia="zh-CN" w:bidi="ar-SA"/>
        </w:rPr>
        <w:t>。根据预算编制原则，通过部门综合预算统筹安排，合理设立绩效目标。人员经费全年预算数507.93万元，执行数507.93万元。预算执行率100%，全面保障部门正常运转，严格按照人员工资标准和保险缴费标准足额准时发放工资待遇和缴纳保险。预算执行过程无违规记录。</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运转类项目绩效分析</w:t>
      </w:r>
    </w:p>
    <w:p>
      <w:pPr>
        <w:pStyle w:val="2"/>
        <w:numPr>
          <w:ilvl w:val="0"/>
          <w:numId w:val="0"/>
        </w:numPr>
        <w:rPr>
          <w:rFonts w:hint="default" w:eastAsia="仿宋_GB2312"/>
          <w:lang w:val="en-US" w:eastAsia="zh-CN"/>
        </w:rPr>
      </w:pPr>
      <w:r>
        <w:rPr>
          <w:rFonts w:hint="eastAsia"/>
          <w:lang w:val="en-US" w:eastAsia="zh-CN"/>
        </w:rPr>
        <w:t xml:space="preserve">       运转类项目主要是部门公用经费项目，</w:t>
      </w:r>
      <w:r>
        <w:rPr>
          <w:rStyle w:val="15"/>
          <w:rFonts w:hint="default" w:ascii="Times New Roman" w:hAnsi="Times New Roman" w:eastAsia="仿宋_GB2312" w:cs="Times New Roman"/>
          <w:b w:val="0"/>
          <w:i w:val="0"/>
          <w:caps w:val="0"/>
          <w:color w:val="000000"/>
          <w:spacing w:val="0"/>
          <w:w w:val="100"/>
          <w:kern w:val="0"/>
          <w:sz w:val="32"/>
          <w:szCs w:val="32"/>
          <w:lang w:val="en-US" w:eastAsia="zh-CN" w:bidi="ar-SA"/>
        </w:rPr>
        <w:t>主要包括：办公费、印刷费、咨询费、手续费、水费、电费、邮电费、物业管理费、差旅费、维修（护）费、租赁费、会议费、培训费、公务接待费、劳务费、工会经费、福利费、公务用车运行维护费、其他交通费、其他商品和服务支出等。</w:t>
      </w:r>
      <w:r>
        <w:rPr>
          <w:rFonts w:hint="eastAsia"/>
          <w:lang w:val="en-US" w:eastAsia="zh-CN"/>
        </w:rPr>
        <w:t xml:space="preserve"> 根据预算编制原则，通过部门综合预算统筹安排，合理设立绩效目标。运转类公用经费全年预算数68.32万元，执行数68.32万元，预算执行率100%。预算执行过程中无违规使用资金记录。</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特定目标类项目绩效分析</w:t>
      </w:r>
    </w:p>
    <w:p>
      <w:pPr>
        <w:pStyle w:val="2"/>
        <w:numPr>
          <w:ilvl w:val="0"/>
          <w:numId w:val="0"/>
        </w:numPr>
        <w:rPr>
          <w:rFonts w:hint="default"/>
          <w:lang w:val="en-US" w:eastAsia="zh-CN"/>
        </w:rPr>
      </w:pPr>
      <w:r>
        <w:rPr>
          <w:rFonts w:hint="eastAsia"/>
          <w:lang w:val="en-US" w:eastAsia="zh-CN"/>
        </w:rPr>
        <w:t xml:space="preserve">       特定目标类项目主要根据部门主要职能开展和促进残疾人康复、扶贫、教育、就业、无障碍设施和残疾预防等工作内容编制预算，通过部门综合预算统筹安排，根据职能内容设定绩效目标。特定目标项目全年预算数495.28万元，全年执行数495.28万元，预算执行率100%。无资金年末结转，预算执行过程中无违规使用资金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宋体" w:eastAsia="仿宋_GB2312" w:cs="宋体"/>
          <w:color w:val="000000"/>
          <w:kern w:val="0"/>
          <w:sz w:val="32"/>
          <w:szCs w:val="32"/>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960" w:firstLineChars="300"/>
        <w:contextualSpacing/>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部门严格按照预算编制有关口径，科学量化重点绩效目标，对项目完成情况、项目效益、满意度等方面设置了绩效指标。综合反应项目预期完成的数量、成本、时效、质量，预期达到的社会效益、经济效益、生态效益、可持续影响及服务对象满意度等情况。部门根据绩效目标</w:t>
      </w:r>
      <w:r>
        <w:rPr>
          <w:rStyle w:val="15"/>
          <w:rFonts w:hint="default" w:ascii="Times New Roman" w:hAnsi="Times New Roman" w:eastAsia="仿宋_GB2312" w:cs="Times New Roman"/>
          <w:b w:val="0"/>
          <w:i w:val="0"/>
          <w:caps w:val="0"/>
          <w:spacing w:val="0"/>
          <w:w w:val="100"/>
          <w:kern w:val="2"/>
          <w:sz w:val="32"/>
          <w:szCs w:val="24"/>
          <w:lang w:val="en-US" w:eastAsia="zh-CN" w:bidi="ar-SA"/>
        </w:rPr>
        <w:t>拟定各项支出的绩效目标实施方案</w:t>
      </w:r>
      <w:r>
        <w:rPr>
          <w:rStyle w:val="15"/>
          <w:rFonts w:hint="eastAsia" w:ascii="Times New Roman" w:hAnsi="Times New Roman" w:cs="Times New Roman"/>
          <w:b w:val="0"/>
          <w:i w:val="0"/>
          <w:caps w:val="0"/>
          <w:spacing w:val="0"/>
          <w:w w:val="100"/>
          <w:kern w:val="2"/>
          <w:sz w:val="32"/>
          <w:szCs w:val="24"/>
          <w:lang w:val="en-US" w:eastAsia="zh-CN" w:bidi="ar-SA"/>
        </w:rPr>
        <w:t>，监督预算资金使用过程，规范使用资金</w:t>
      </w:r>
      <w:r>
        <w:rPr>
          <w:rStyle w:val="15"/>
          <w:rFonts w:hint="default" w:ascii="Times New Roman" w:hAnsi="Times New Roman" w:eastAsia="仿宋_GB2312" w:cs="Times New Roman"/>
          <w:b w:val="0"/>
          <w:i w:val="0"/>
          <w:caps w:val="0"/>
          <w:spacing w:val="0"/>
          <w:w w:val="100"/>
          <w:kern w:val="2"/>
          <w:sz w:val="32"/>
          <w:szCs w:val="24"/>
          <w:lang w:val="en-US" w:eastAsia="zh-CN" w:bidi="ar-SA"/>
        </w:rPr>
        <w:t>制定了资金使用中长期规划，加强专项资金使用过程的控制和追踪问责，进一步推进专项资金申请和使用中的监管</w:t>
      </w:r>
      <w:r>
        <w:rPr>
          <w:rStyle w:val="15"/>
          <w:rFonts w:hint="eastAsia" w:ascii="Times New Roman" w:hAnsi="Times New Roman" w:cs="Times New Roman"/>
          <w:b w:val="0"/>
          <w:i w:val="0"/>
          <w:caps w:val="0"/>
          <w:spacing w:val="0"/>
          <w:w w:val="100"/>
          <w:kern w:val="2"/>
          <w:sz w:val="32"/>
          <w:szCs w:val="24"/>
          <w:lang w:val="en-US" w:eastAsia="zh-CN" w:bidi="ar-SA"/>
        </w:rPr>
        <w:t>。</w:t>
      </w:r>
      <w:r>
        <w:rPr>
          <w:rFonts w:hint="default" w:ascii="Times New Roman" w:hAnsi="Times New Roman" w:cs="Times New Roman"/>
          <w:color w:val="000000"/>
          <w:sz w:val="32"/>
          <w:szCs w:val="32"/>
          <w:lang w:eastAsia="zh-CN"/>
        </w:rPr>
        <w:t>部门</w:t>
      </w:r>
      <w:r>
        <w:rPr>
          <w:rFonts w:hint="default" w:ascii="Times New Roman" w:hAnsi="Times New Roman" w:eastAsia="仿宋_GB2312" w:cs="Times New Roman"/>
          <w:color w:val="000000"/>
          <w:sz w:val="32"/>
          <w:szCs w:val="32"/>
        </w:rPr>
        <w:t>202</w:t>
      </w:r>
      <w:r>
        <w:rPr>
          <w:rFonts w:hint="eastAsia"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年全面保障了机关日常运转，认真履行好部门职能职责，圆满完成了市委、市政府下达的各项目标任务</w:t>
      </w:r>
      <w:r>
        <w:rPr>
          <w:rFonts w:hint="eastAsia" w:ascii="Times New Roman" w:hAnsi="Times New Roman" w:cs="Times New Roman"/>
          <w:color w:val="000000"/>
          <w:sz w:val="32"/>
          <w:szCs w:val="32"/>
          <w:lang w:eastAsia="zh-CN"/>
        </w:rPr>
        <w:t>及项目绩效目标。</w:t>
      </w: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Times New Roman" w:hAnsi="Times New Roman" w:eastAsia="仿宋_GB2312" w:cs="Times New Roman"/>
          <w:color w:val="00000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cs="宋体"/>
          <w:color w:val="000000"/>
          <w:kern w:val="0"/>
          <w:sz w:val="32"/>
          <w:szCs w:val="32"/>
          <w:highlight w:val="none"/>
          <w:shd w:val="clear" w:color="auto" w:fill="FFFFFF"/>
          <w:lang w:val="zh-CN"/>
        </w:rPr>
      </w:pPr>
      <w:r>
        <w:rPr>
          <w:rFonts w:hint="eastAsia" w:ascii="仿宋_GB2312" w:hAnsi="宋体" w:cs="宋体"/>
          <w:color w:val="000000"/>
          <w:kern w:val="0"/>
          <w:sz w:val="32"/>
          <w:szCs w:val="32"/>
          <w:highlight w:val="none"/>
          <w:shd w:val="clear" w:color="auto" w:fill="FFFFFF"/>
          <w:lang w:val="en-US" w:eastAsia="zh-CN"/>
        </w:rPr>
        <w:t>1.</w:t>
      </w:r>
      <w:r>
        <w:rPr>
          <w:rFonts w:hint="eastAsia" w:ascii="仿宋_GB2312" w:hAnsi="宋体" w:eastAsia="仿宋_GB2312" w:cs="宋体"/>
          <w:color w:val="000000"/>
          <w:kern w:val="0"/>
          <w:sz w:val="32"/>
          <w:szCs w:val="32"/>
          <w:highlight w:val="none"/>
          <w:shd w:val="clear" w:color="auto" w:fill="FFFFFF"/>
          <w:lang w:val="zh-CN"/>
        </w:rPr>
        <w:t>内部应用</w:t>
      </w:r>
      <w:r>
        <w:rPr>
          <w:rFonts w:hint="eastAsia" w:ascii="仿宋_GB2312" w:hAnsi="宋体" w:cs="宋体"/>
          <w:color w:val="000000"/>
          <w:kern w:val="0"/>
          <w:sz w:val="32"/>
          <w:szCs w:val="32"/>
          <w:highlight w:val="none"/>
          <w:shd w:val="clear" w:color="auto" w:fill="FFFFFF"/>
          <w:lang w:val="zh-CN"/>
        </w:rPr>
        <w:t>。绩效评价的结果将纳入部门下一年的项目申报、资金分配和目标考核等方面，对于预算执行度低、绩效目标等完成质量差的项目，将在下一年预算安全中削减资金或者不予安排资金。</w:t>
      </w:r>
    </w:p>
    <w:p>
      <w:pPr>
        <w:pStyle w:val="2"/>
        <w:ind w:left="0" w:leftChars="0" w:firstLine="640" w:firstLineChars="200"/>
        <w:rPr>
          <w:rFonts w:hint="eastAsia" w:ascii="仿宋_GB2312" w:hAnsi="宋体" w:cs="宋体"/>
          <w:color w:val="000000"/>
          <w:kern w:val="0"/>
          <w:sz w:val="32"/>
          <w:szCs w:val="32"/>
          <w:highlight w:val="none"/>
          <w:shd w:val="clear" w:color="auto" w:fill="FFFFFF"/>
          <w:lang w:val="en-US" w:eastAsia="zh-CN"/>
        </w:rPr>
      </w:pPr>
      <w:r>
        <w:rPr>
          <w:rFonts w:hint="eastAsia" w:ascii="仿宋_GB2312" w:hAnsi="宋体" w:cs="宋体"/>
          <w:color w:val="000000"/>
          <w:kern w:val="0"/>
          <w:sz w:val="32"/>
          <w:szCs w:val="32"/>
          <w:highlight w:val="none"/>
          <w:shd w:val="clear" w:color="auto" w:fill="FFFFFF"/>
          <w:lang w:val="en-US" w:eastAsia="zh-CN"/>
        </w:rPr>
        <w:t>2.自评公开。按照决算公开有关要求。在部门决算中公开绩效评价内容，部门及时、准确、完整将部门整体绩效目标完成情况与决算一起公开。</w:t>
      </w:r>
    </w:p>
    <w:p>
      <w:pPr>
        <w:pStyle w:val="4"/>
        <w:ind w:left="0" w:leftChars="0" w:firstLine="640" w:firstLineChars="200"/>
        <w:rPr>
          <w:rFonts w:hint="default"/>
          <w:lang w:val="en-US" w:eastAsia="zh-CN"/>
        </w:rPr>
      </w:pPr>
      <w:r>
        <w:rPr>
          <w:rFonts w:hint="eastAsia" w:ascii="仿宋_GB2312" w:hAnsi="宋体" w:cs="宋体"/>
          <w:color w:val="000000"/>
          <w:kern w:val="0"/>
          <w:sz w:val="32"/>
          <w:szCs w:val="32"/>
          <w:highlight w:val="none"/>
          <w:shd w:val="clear" w:color="auto" w:fill="FFFFFF"/>
          <w:lang w:val="en-US" w:eastAsia="zh-CN"/>
        </w:rPr>
        <w:t>3.问题整改。针对预算资金执行过程中，预算执行率低、绩效目标指标不合理等情况，每季度通报财政拨款资金执行度，督促资金执行力度。</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320" w:firstLineChars="1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w:t>
      </w:r>
      <w:r>
        <w:rPr>
          <w:rFonts w:hint="eastAsia" w:ascii="楷体_GB2312" w:hAnsi="楷体_GB2312" w:eastAsia="楷体_GB2312" w:cs="楷体_GB2312"/>
          <w:b/>
          <w:bCs/>
          <w:color w:val="000000"/>
          <w:kern w:val="0"/>
          <w:sz w:val="32"/>
          <w:szCs w:val="32"/>
          <w:highlight w:val="none"/>
          <w:shd w:val="clear" w:color="auto" w:fill="FFFFFF"/>
          <w:lang w:val="en-US" w:eastAsia="zh-CN"/>
        </w:rPr>
        <w:t>四</w:t>
      </w:r>
      <w:r>
        <w:rPr>
          <w:rFonts w:hint="eastAsia" w:ascii="楷体_GB2312" w:hAnsi="楷体_GB2312" w:eastAsia="楷体_GB2312" w:cs="楷体_GB2312"/>
          <w:b/>
          <w:bCs/>
          <w:color w:val="000000"/>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Style w:val="15"/>
          <w:rFonts w:hint="default" w:ascii="Times New Roman" w:hAnsi="Times New Roman" w:eastAsia="仿宋_GB2312" w:cs="Times New Roman"/>
          <w:b w:val="0"/>
          <w:i w:val="0"/>
          <w:caps w:val="0"/>
          <w:color w:val="auto"/>
          <w:spacing w:val="0"/>
          <w:w w:val="100"/>
          <w:kern w:val="2"/>
          <w:sz w:val="32"/>
          <w:szCs w:val="24"/>
          <w:lang w:val="en-US" w:eastAsia="zh-CN" w:bidi="ar-SA"/>
        </w:rPr>
      </w:pPr>
      <w:r>
        <w:rPr>
          <w:rStyle w:val="15"/>
          <w:rFonts w:hint="eastAsia" w:ascii="Times New Roman" w:hAnsi="Times New Roman" w:cs="Times New Roman"/>
          <w:b w:val="0"/>
          <w:i w:val="0"/>
          <w:caps w:val="0"/>
          <w:color w:val="auto"/>
          <w:spacing w:val="0"/>
          <w:w w:val="100"/>
          <w:kern w:val="2"/>
          <w:sz w:val="32"/>
          <w:szCs w:val="24"/>
          <w:lang w:val="en-US" w:eastAsia="zh-CN" w:bidi="ar-SA"/>
        </w:rPr>
        <w:t xml:space="preserve">     通过部门整体评价体系自评得分98.5分。整体支出绩效评价优。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Style w:val="15"/>
          <w:rFonts w:hint="eastAsia" w:ascii="Times New Roman" w:hAnsi="Times New Roman" w:cs="Times New Roman"/>
          <w:b w:val="0"/>
          <w:i w:val="0"/>
          <w:caps w:val="0"/>
          <w:color w:val="auto"/>
          <w:spacing w:val="0"/>
          <w:w w:val="100"/>
          <w:kern w:val="2"/>
          <w:sz w:val="32"/>
          <w:szCs w:val="24"/>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Style w:val="15"/>
          <w:rFonts w:hint="eastAsia" w:ascii="Times New Roman" w:hAnsi="Times New Roman" w:cs="Times New Roman"/>
          <w:b w:val="0"/>
          <w:i w:val="0"/>
          <w:caps w:val="0"/>
          <w:color w:val="auto"/>
          <w:spacing w:val="0"/>
          <w:w w:val="100"/>
          <w:kern w:val="2"/>
          <w:sz w:val="32"/>
          <w:szCs w:val="24"/>
          <w:lang w:val="en-US" w:eastAsia="zh-CN" w:bidi="ar-SA"/>
        </w:rPr>
      </w:pPr>
      <w:r>
        <w:rPr>
          <w:rStyle w:val="15"/>
          <w:rFonts w:hint="eastAsia" w:ascii="Times New Roman" w:hAnsi="Times New Roman" w:cs="Times New Roman"/>
          <w:b w:val="0"/>
          <w:i w:val="0"/>
          <w:caps w:val="0"/>
          <w:color w:val="auto"/>
          <w:spacing w:val="0"/>
          <w:w w:val="100"/>
          <w:kern w:val="2"/>
          <w:sz w:val="32"/>
          <w:szCs w:val="24"/>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（一）评价结论。</w:t>
      </w:r>
    </w:p>
    <w:p>
      <w:pPr>
        <w:pStyle w:val="2"/>
        <w:rPr>
          <w:rFonts w:hint="eastAsia" w:ascii="楷体_GB2312" w:hAnsi="楷体_GB2312" w:eastAsia="楷体_GB2312" w:cs="楷体_GB2312"/>
          <w:b/>
          <w:bCs/>
          <w:color w:val="000000"/>
          <w:kern w:val="0"/>
          <w:sz w:val="32"/>
          <w:szCs w:val="32"/>
          <w:highlight w:val="none"/>
          <w:shd w:val="clear" w:color="auto" w:fill="FFFFFF"/>
          <w:lang w:val="zh-CN"/>
        </w:rPr>
      </w:pPr>
      <w:r>
        <w:rPr>
          <w:rStyle w:val="15"/>
          <w:rFonts w:hint="default" w:ascii="Times New Roman" w:hAnsi="Times New Roman" w:eastAsia="仿宋_GB2312" w:cs="Times New Roman"/>
          <w:b w:val="0"/>
          <w:i w:val="0"/>
          <w:caps w:val="0"/>
          <w:color w:val="auto"/>
          <w:spacing w:val="0"/>
          <w:w w:val="100"/>
          <w:kern w:val="2"/>
          <w:sz w:val="32"/>
          <w:szCs w:val="24"/>
          <w:lang w:val="en-US" w:eastAsia="zh-CN" w:bidi="ar-SA"/>
        </w:rPr>
        <w:t>整体支出绩效评价优，所有支出全部纳入绩效评价。通过资金使用，达到预期效果，保证了各项工作任务的完成，不存在资金的浪费和挪用的情况，部分项目预算资金进行调整使用。</w:t>
      </w:r>
    </w:p>
    <w:p>
      <w:pPr>
        <w:pStyle w:val="4"/>
        <w:rPr>
          <w:rFonts w:hint="eastAsia" w:ascii="楷体_GB2312" w:hAnsi="楷体_GB2312" w:eastAsia="楷体_GB2312" w:cs="楷体_GB2312"/>
          <w:b/>
          <w:bCs/>
          <w:color w:val="000000"/>
          <w:kern w:val="0"/>
          <w:sz w:val="32"/>
          <w:szCs w:val="32"/>
          <w:highlight w:val="none"/>
          <w:shd w:val="clear" w:color="auto" w:fill="FFFFFF"/>
          <w:lang w:val="zh-CN"/>
        </w:rPr>
      </w:pPr>
    </w:p>
    <w:p>
      <w:pPr>
        <w:rPr>
          <w:rFonts w:hint="eastAsia"/>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（二）存在问题。</w:t>
      </w:r>
    </w:p>
    <w:p>
      <w:pPr>
        <w:widowControl/>
        <w:adjustRightInd w:val="0"/>
        <w:snapToGrid w:val="0"/>
        <w:spacing w:line="570" w:lineRule="exact"/>
        <w:ind w:firstLine="640" w:firstLineChars="200"/>
        <w:jc w:val="left"/>
        <w:rPr>
          <w:rFonts w:hint="eastAsia" w:ascii="仿宋_GB2312"/>
        </w:rPr>
      </w:pPr>
      <w:r>
        <w:rPr>
          <w:rFonts w:hint="eastAsia" w:ascii="仿宋_GB2312"/>
        </w:rPr>
        <w:t>1.专项资金存在执行进度略微偏低的问题。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rPr>
        <w:t>2.绩效目标质量管理有待进一步加强。存在个别项目绩效目标设置量化、细化程度不够，部分绩效目标完成指标缺乏明确的业务数据支撑，评价依据和评价标准不够明确。</w:t>
      </w:r>
      <w:r>
        <w:rPr>
          <w:rFonts w:hint="eastAsia" w:ascii="仿宋_GB2312"/>
        </w:rPr>
        <w:br w:type="textWrapping"/>
      </w:r>
      <w:r>
        <w:rPr>
          <w:rFonts w:hint="eastAsia" w:ascii="仿宋_GB2312"/>
        </w:rPr>
        <w:t xml:space="preserve">    3.绩效监控不够。预算和绩效目标调整不及时，导致部分项目虽完成业务工作，由于预算和绩效目标未调整，致使整体绩效目标未能完成。</w:t>
      </w:r>
      <w:r>
        <w:rPr>
          <w:rFonts w:hint="eastAsia" w:ascii="仿宋_GB2312"/>
        </w:rPr>
        <w:br w:type="textWrapping"/>
      </w:r>
      <w:r>
        <w:rPr>
          <w:rFonts w:hint="eastAsia" w:ascii="仿宋_GB2312"/>
        </w:rPr>
        <w:t xml:space="preserve">    4.对预算需求调查不够充分。事前评估不够，导致项目年内无法实施，同时应用绩效监控结果指导预算调整的情况欠佳，绩效监控调整作用较弱，动态管理不够到位，出现到年底未执行项目。</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改进建议</w:t>
      </w:r>
    </w:p>
    <w:p>
      <w:pPr>
        <w:widowControl/>
        <w:adjustRightInd w:val="0"/>
        <w:snapToGrid w:val="0"/>
        <w:spacing w:line="570" w:lineRule="exact"/>
        <w:ind w:firstLine="640" w:firstLineChars="200"/>
        <w:jc w:val="left"/>
        <w:rPr>
          <w:rFonts w:hint="eastAsia" w:ascii="仿宋_GB2312"/>
        </w:rPr>
      </w:pPr>
      <w:r>
        <w:rPr>
          <w:rFonts w:hint="eastAsia" w:ascii="仿宋_GB2312"/>
        </w:rPr>
        <w:t>1.提高预算管理水平，加快支出执行进度。一是充分了解预算需求，合理安排支出结构，提高预算编制的准确度。同时，积极应用绩效监控结果指导预算调整，增强预算编制与预算执行的一致性，提升预算精细化管理水平。二是作好预算支出总体安排，建立和完善预算执行情况的分析、监督、信息反馈机制，及时响应加大力度推进预算执行进度。</w:t>
      </w:r>
    </w:p>
    <w:p>
      <w:pPr>
        <w:widowControl/>
        <w:adjustRightInd w:val="0"/>
        <w:snapToGrid w:val="0"/>
        <w:spacing w:line="570" w:lineRule="exact"/>
        <w:ind w:firstLine="640" w:firstLineChars="200"/>
        <w:jc w:val="left"/>
        <w:rPr>
          <w:rFonts w:hint="eastAsia" w:ascii="仿宋_GB2312"/>
        </w:rPr>
      </w:pPr>
      <w:r>
        <w:rPr>
          <w:rFonts w:hint="eastAsia" w:ascii="仿宋_GB2312"/>
        </w:rPr>
        <w:t>2.细化绩效目标管理，建立动态管理机制。一是进一步细化、量化绩效目标编制。财务室与各业务科（室）深度衔接、紧密配合，在项目实施前，结合自身业务特性，设置科学合理、针对性强、便于考核的绩效目标。二是加强项目实施过程控制，建立绩效目标动态管理机制。</w:t>
      </w:r>
    </w:p>
    <w:p>
      <w:pPr>
        <w:widowControl/>
        <w:adjustRightInd w:val="0"/>
        <w:snapToGrid w:val="0"/>
        <w:spacing w:line="570" w:lineRule="exact"/>
        <w:ind w:firstLine="640" w:firstLineChars="200"/>
        <w:jc w:val="left"/>
        <w:rPr>
          <w:rFonts w:hint="eastAsia" w:ascii="仿宋_GB2312"/>
        </w:rPr>
      </w:pPr>
      <w:r>
        <w:rPr>
          <w:rFonts w:hint="eastAsia" w:ascii="仿宋_GB2312"/>
        </w:rPr>
        <w:t>3.抓住重点项目关键环节，扎实推进项目实施。大力督促市残疾人康复中心建设进度，切实解决影响项目进度的关键问题，加强工程资料收集汇总，做好竣工决算和项目财评工作。</w:t>
      </w:r>
    </w:p>
    <w:p>
      <w:pPr>
        <w:pStyle w:val="4"/>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rPr>
        <w:t>4.凝心聚力共同做好政府采购工作。大力提升部门政府采购人员政策水平，加强对业务科（室）政府采购工作的指导和帮助，齐心协力科学规范开展政府采购活动</w:t>
      </w:r>
      <w:r>
        <w:rPr>
          <w:rStyle w:val="15"/>
          <w:rFonts w:hint="eastAsia" w:ascii="Times New Roman" w:hAnsi="Times New Roman" w:cs="Times New Roman"/>
          <w:b w:val="0"/>
          <w:i w:val="0"/>
          <w:caps w:val="0"/>
          <w:color w:val="auto"/>
          <w:spacing w:val="0"/>
          <w:w w:val="100"/>
          <w:kern w:val="2"/>
          <w:sz w:val="32"/>
          <w:szCs w:val="24"/>
          <w:lang w:val="en-US" w:eastAsia="zh-CN" w:bidi="ar-SA"/>
        </w:rPr>
        <w:t>。</w:t>
      </w:r>
    </w:p>
    <w:p>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leftChars="0"/>
        <w:textAlignment w:val="auto"/>
        <w:rPr>
          <w:rFonts w:hint="default"/>
          <w:lang w:val="en-US" w:eastAsia="zh-CN"/>
        </w:rPr>
      </w:pPr>
      <w:r>
        <w:rPr>
          <w:rFonts w:hint="eastAsia"/>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line="580" w:lineRule="exact"/>
        <w:ind w:left="0" w:leftChars="0"/>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p>
    <w:p>
      <w:pPr>
        <w:pStyle w:val="7"/>
        <w:numPr>
          <w:ilvl w:val="0"/>
          <w:numId w:val="0"/>
        </w:numPr>
        <w:rPr>
          <w:rFonts w:hint="default"/>
          <w:lang w:val="en-US" w:eastAsia="zh-CN"/>
        </w:rPr>
      </w:pPr>
    </w:p>
    <w:p>
      <w:pPr>
        <w:pStyle w:val="7"/>
        <w:numPr>
          <w:ilvl w:val="0"/>
          <w:numId w:val="0"/>
        </w:numPr>
        <w:rPr>
          <w:rFonts w:hint="eastAsia"/>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方正小标宋简体" w:hAnsi="方正小标宋简体" w:eastAsia="黑体" w:cs="方正小标宋简体"/>
          <w:color w:val="auto"/>
          <w:sz w:val="44"/>
          <w:szCs w:val="44"/>
          <w:highlight w:val="none"/>
          <w:lang w:val="en-US" w:eastAsia="zh-CN"/>
        </w:rPr>
      </w:pPr>
    </w:p>
    <w:p>
      <w:pPr>
        <w:keepNext w:val="0"/>
        <w:keepLines w:val="0"/>
        <w:widowControl w:val="0"/>
        <w:suppressLineNumbers w:val="0"/>
        <w:spacing w:before="0" w:beforeAutospacing="0" w:after="0" w:afterAutospacing="0" w:line="540" w:lineRule="exact"/>
        <w:ind w:left="0" w:right="0"/>
        <w:jc w:val="both"/>
        <w:rPr>
          <w:rFonts w:hint="eastAsia" w:ascii="Times New Roman" w:hAnsi="方正小标宋简体" w:eastAsia="方正小标宋简体" w:cs="方正小标宋简体"/>
          <w:color w:val="000000"/>
          <w:kern w:val="0"/>
          <w:sz w:val="36"/>
          <w:szCs w:val="36"/>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Times New Roman" w:hAnsi="方正小标宋简体" w:eastAsia="方正小标宋简体" w:cs="方正小标宋简体"/>
          <w:color w:val="000000"/>
          <w:kern w:val="0"/>
          <w:sz w:val="36"/>
          <w:szCs w:val="36"/>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Times New Roman" w:hAnsi="方正小标宋简体" w:eastAsia="方正小标宋简体" w:cs="方正小标宋简体"/>
          <w:color w:val="000000"/>
          <w:kern w:val="0"/>
          <w:sz w:val="36"/>
          <w:szCs w:val="36"/>
          <w:lang w:val="en-US" w:eastAsia="zh-CN" w:bidi="ar"/>
        </w:rPr>
      </w:pPr>
    </w:p>
    <w:p>
      <w:pPr>
        <w:keepNext w:val="0"/>
        <w:keepLines w:val="0"/>
        <w:widowControl w:val="0"/>
        <w:suppressLineNumbers w:val="0"/>
        <w:spacing w:before="0" w:beforeAutospacing="0" w:after="0" w:afterAutospacing="0" w:line="580" w:lineRule="exact"/>
        <w:ind w:left="0" w:right="0"/>
        <w:jc w:val="both"/>
        <w:outlineLvl w:val="9"/>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p>
    <w:p>
      <w:pPr>
        <w:pStyle w:val="22"/>
        <w:widowControl/>
        <w:spacing w:line="580" w:lineRule="exact"/>
        <w:ind w:left="0" w:firstLine="2090" w:firstLineChars="475"/>
        <w:jc w:val="both"/>
        <w:rPr>
          <w:rFonts w:hint="default" w:ascii="Times New Roman" w:hAnsi="Times New Roman" w:eastAsia="仿宋_GB2312" w:cs="Times New Roman"/>
          <w:color w:val="auto"/>
          <w:kern w:val="2"/>
          <w:sz w:val="32"/>
          <w:szCs w:val="32"/>
        </w:rPr>
      </w:pPr>
      <w:r>
        <w:rPr>
          <w:rFonts w:hint="eastAsia" w:ascii="Times New Roman" w:hAnsi="Times New Roman" w:eastAsia="方正小标宋简体" w:cs="方正小标宋简体"/>
          <w:sz w:val="44"/>
          <w:szCs w:val="44"/>
        </w:rPr>
        <w:t>项目支出绩效</w:t>
      </w:r>
      <w:r>
        <w:rPr>
          <w:rFonts w:hint="eastAsia" w:ascii="Times New Roman" w:hAnsi="Times New Roman" w:eastAsia="方正小标宋简体" w:cs="方正小标宋简体"/>
          <w:sz w:val="44"/>
          <w:szCs w:val="44"/>
          <w:lang w:val="en-US" w:eastAsia="zh-CN"/>
        </w:rPr>
        <w:t>自评</w:t>
      </w:r>
      <w:r>
        <w:rPr>
          <w:rFonts w:hint="eastAsia" w:ascii="Times New Roman" w:hAnsi="Times New Roman" w:eastAsia="方正小标宋简体" w:cs="方正小标宋简体"/>
          <w:sz w:val="44"/>
          <w:szCs w:val="44"/>
        </w:rPr>
        <w:t>报告</w:t>
      </w:r>
    </w:p>
    <w:p>
      <w:pPr>
        <w:keepNext w:val="0"/>
        <w:keepLines w:val="0"/>
        <w:widowControl w:val="0"/>
        <w:suppressLineNumbers w:val="0"/>
        <w:spacing w:before="0" w:beforeAutospacing="0" w:after="0" w:afterAutospacing="0" w:line="580" w:lineRule="exact"/>
        <w:ind w:left="0" w:right="0"/>
        <w:jc w:val="center"/>
        <w:rPr>
          <w:rFonts w:ascii="Times New Roman" w:hAnsi="Times New Roman" w:eastAsia="仿宋_GB2312" w:cs="Times New Roman"/>
          <w:sz w:val="32"/>
          <w:lang w:val="en-US"/>
        </w:rPr>
      </w:pPr>
      <w:r>
        <w:rPr>
          <w:rFonts w:hint="eastAsia" w:cs="仿宋_GB2312"/>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w:t>
      </w:r>
      <w:r>
        <w:rPr>
          <w:rFonts w:hint="eastAsia" w:ascii="仿宋_GB2312" w:eastAsia="仿宋_GB2312" w:cs="仿宋_GB2312"/>
          <w:color w:val="000000"/>
          <w:sz w:val="32"/>
          <w:szCs w:val="32"/>
        </w:rPr>
        <w:t>2022年残疾儿童康复</w:t>
      </w:r>
      <w:r>
        <w:rPr>
          <w:rFonts w:hint="eastAsia" w:ascii="Times New Roman" w:hAnsi="Times New Roman" w:eastAsia="仿宋_GB2312" w:cs="仿宋_GB2312"/>
          <w:kern w:val="2"/>
          <w:sz w:val="32"/>
          <w:szCs w:val="24"/>
          <w:lang w:val="en-US" w:eastAsia="zh-CN" w:bidi="ar"/>
        </w:rPr>
        <w:t>项目）</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Times New Roman" w:hAnsi="Times New Roman" w:eastAsia="仿宋_GB2312" w:cs="Times New Roman"/>
          <w:sz w:val="32"/>
          <w:lang w:val="zh-CN" w:eastAsia="zh-CN"/>
        </w:rPr>
      </w:pPr>
      <w:r>
        <w:rPr>
          <w:rFonts w:hint="eastAsia" w:ascii="Times New Roman" w:hAnsi="Times New Roman" w:eastAsia="黑体" w:cs="黑体"/>
          <w:kern w:val="2"/>
          <w:sz w:val="32"/>
          <w:szCs w:val="24"/>
          <w:lang w:val="en-US" w:eastAsia="zh-CN" w:bidi="ar"/>
        </w:rPr>
        <w:t>一、</w:t>
      </w:r>
      <w:r>
        <w:rPr>
          <w:rFonts w:hint="eastAsia" w:ascii="Times New Roman" w:hAnsi="Times New Roman" w:eastAsia="黑体" w:cs="黑体"/>
          <w:kern w:val="2"/>
          <w:sz w:val="32"/>
          <w:szCs w:val="24"/>
          <w:lang w:val="zh-CN" w:eastAsia="zh-CN" w:bidi="ar"/>
        </w:rPr>
        <w:t>项目概况</w:t>
      </w:r>
    </w:p>
    <w:p>
      <w:pPr>
        <w:keepNext w:val="0"/>
        <w:keepLines w:val="0"/>
        <w:widowControl w:val="0"/>
        <w:numPr>
          <w:ilvl w:val="0"/>
          <w:numId w:val="7"/>
        </w:numPr>
        <w:suppressLineNumbers w:val="0"/>
        <w:adjustRightInd w:val="0"/>
        <w:snapToGrid w:val="0"/>
        <w:spacing w:before="0" w:beforeAutospacing="0" w:after="0" w:afterAutospacing="0" w:line="580" w:lineRule="exact"/>
        <w:ind w:left="0" w:right="0" w:firstLine="720"/>
        <w:jc w:val="both"/>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项目资金申报及批复情况。</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pPr>
      <w:r>
        <w:rPr>
          <w:rFonts w:hint="eastAsia" w:cs="仿宋_GB2312"/>
          <w:kern w:val="2"/>
          <w:sz w:val="32"/>
          <w:szCs w:val="24"/>
          <w:lang w:val="zh-CN" w:eastAsia="zh-CN" w:bidi="ar"/>
        </w:rPr>
        <w:t>残疾儿童康复项目资金主要由</w:t>
      </w:r>
      <w:r>
        <w:rPr>
          <w:rFonts w:hint="default" w:ascii="Times New Roman" w:hAnsi="Times New Roman" w:eastAsia="仿宋_GB2312" w:cs="Times New Roman"/>
          <w:color w:val="auto"/>
          <w:w w:val="100"/>
          <w:sz w:val="32"/>
          <w:szCs w:val="16"/>
          <w:lang w:val="en-US" w:eastAsia="zh-CN"/>
        </w:rPr>
        <w:t>中央和省级财政残疾人事业发展补助资金</w:t>
      </w:r>
      <w:r>
        <w:rPr>
          <w:rFonts w:hint="eastAsia" w:ascii="Times New Roman" w:hAnsi="Times New Roman" w:cs="Times New Roman"/>
          <w:color w:val="auto"/>
          <w:w w:val="100"/>
          <w:sz w:val="32"/>
          <w:szCs w:val="16"/>
          <w:lang w:val="en-US" w:eastAsia="zh-CN"/>
        </w:rPr>
        <w:t>组成，市级和区级财政配套。2022年资金下达后，</w:t>
      </w:r>
      <w:r>
        <w:rPr>
          <w:rFonts w:hint="default" w:ascii="Times New Roman" w:hAnsi="Times New Roman" w:eastAsia="仿宋_GB2312" w:cs="Times New Roman"/>
          <w:color w:val="auto"/>
          <w:w w:val="100"/>
          <w:sz w:val="32"/>
          <w:szCs w:val="16"/>
          <w:lang w:val="en-US" w:eastAsia="zh-CN"/>
        </w:rPr>
        <w:t>市财政局将会同市残联分配</w:t>
      </w:r>
      <w:r>
        <w:rPr>
          <w:rFonts w:hint="eastAsia" w:ascii="Times New Roman" w:hAnsi="Times New Roman" w:cs="Times New Roman"/>
          <w:color w:val="auto"/>
          <w:w w:val="100"/>
          <w:sz w:val="32"/>
          <w:szCs w:val="16"/>
          <w:lang w:val="en-US" w:eastAsia="zh-CN"/>
        </w:rPr>
        <w:t>给沿滩区残联具体实施。</w:t>
      </w:r>
      <w:r>
        <w:rPr>
          <w:rStyle w:val="15"/>
          <w:rFonts w:hint="default" w:ascii="Times New Roman" w:hAnsi="Times New Roman" w:eastAsia="仿宋_GB2312" w:cs="Times New Roman"/>
          <w:b w:val="0"/>
          <w:bCs/>
          <w:i w:val="0"/>
          <w:caps w:val="0"/>
          <w:spacing w:val="0"/>
          <w:w w:val="100"/>
          <w:kern w:val="2"/>
          <w:sz w:val="32"/>
          <w:szCs w:val="24"/>
          <w:lang w:val="en-US" w:eastAsia="zh-CN" w:bidi="ar-SA"/>
        </w:rPr>
        <w:t>项目资金根据《中华人民共和国预算法》</w:t>
      </w:r>
      <w:r>
        <w:rPr>
          <w:rStyle w:val="15"/>
          <w:rFonts w:hint="default" w:ascii="Times New Roman" w:hAnsi="Times New Roman" w:eastAsia="仿宋_GB2312" w:cs="Times New Roman"/>
          <w:b w:val="0"/>
          <w:i w:val="0"/>
          <w:caps w:val="0"/>
          <w:spacing w:val="0"/>
          <w:w w:val="100"/>
          <w:kern w:val="2"/>
          <w:sz w:val="32"/>
          <w:szCs w:val="24"/>
          <w:lang w:val="en-US" w:eastAsia="zh-CN" w:bidi="ar-SA"/>
        </w:rPr>
        <w:t>、</w:t>
      </w:r>
      <w:r>
        <w:rPr>
          <w:rStyle w:val="15"/>
          <w:rFonts w:hint="default" w:ascii="Times New Roman" w:hAnsi="Times New Roman" w:eastAsia="仿宋_GB2312" w:cs="Times New Roman"/>
          <w:b w:val="0"/>
          <w:i w:val="0"/>
          <w:caps w:val="0"/>
          <w:color w:val="000000"/>
          <w:spacing w:val="0"/>
          <w:w w:val="100"/>
          <w:kern w:val="2"/>
          <w:sz w:val="32"/>
          <w:szCs w:val="24"/>
          <w:lang w:val="en-US" w:eastAsia="zh-CN" w:bidi="ar-SA"/>
        </w:rPr>
        <w:t>《</w:t>
      </w:r>
      <w:r>
        <w:rPr>
          <w:rStyle w:val="14"/>
          <w:rFonts w:hint="default" w:ascii="Times New Roman" w:hAnsi="Times New Roman" w:eastAsia="仿宋_GB2312" w:cs="Times New Roman"/>
          <w:b w:val="0"/>
          <w:bCs/>
          <w:i w:val="0"/>
          <w:caps w:val="0"/>
          <w:color w:val="000000"/>
          <w:spacing w:val="0"/>
          <w:w w:val="100"/>
          <w:kern w:val="2"/>
          <w:sz w:val="32"/>
          <w:szCs w:val="24"/>
          <w:lang w:val="en-US" w:eastAsia="zh-CN" w:bidi="ar-SA"/>
        </w:rPr>
        <w:t>四川省财政厅关于进一步加强预算绩效目标和绩效运行监控管理的通知</w:t>
      </w:r>
      <w:r>
        <w:rPr>
          <w:rStyle w:val="15"/>
          <w:rFonts w:hint="default" w:ascii="Times New Roman" w:hAnsi="Times New Roman" w:eastAsia="仿宋_GB2312" w:cs="Times New Roman"/>
          <w:b w:val="0"/>
          <w:i w:val="0"/>
          <w:caps w:val="0"/>
          <w:color w:val="000000"/>
          <w:spacing w:val="0"/>
          <w:w w:val="100"/>
          <w:kern w:val="2"/>
          <w:sz w:val="32"/>
          <w:szCs w:val="24"/>
          <w:lang w:val="en-US" w:eastAsia="zh-CN" w:bidi="ar-SA"/>
        </w:rPr>
        <w:t>》</w:t>
      </w:r>
      <w:r>
        <w:rPr>
          <w:rStyle w:val="14"/>
          <w:rFonts w:hint="default" w:ascii="Times New Roman" w:hAnsi="Times New Roman" w:eastAsia="仿宋_GB2312" w:cs="Times New Roman"/>
          <w:b w:val="0"/>
          <w:bCs/>
          <w:i w:val="0"/>
          <w:caps w:val="0"/>
          <w:color w:val="000000"/>
          <w:spacing w:val="0"/>
          <w:w w:val="100"/>
          <w:kern w:val="2"/>
          <w:sz w:val="32"/>
          <w:szCs w:val="24"/>
          <w:lang w:val="en-US" w:eastAsia="zh-CN" w:bidi="ar-SA"/>
        </w:rPr>
        <w:t>、《自贡市市级预算绩效目标管理办法》</w:t>
      </w:r>
      <w:r>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t>等相关法律制度规定，立项和申报资金。</w:t>
      </w:r>
    </w:p>
    <w:p>
      <w:pPr>
        <w:keepNext w:val="0"/>
        <w:keepLines w:val="0"/>
        <w:widowControl w:val="0"/>
        <w:numPr>
          <w:ilvl w:val="0"/>
          <w:numId w:val="0"/>
        </w:numPr>
        <w:suppressLineNumbers w:val="0"/>
        <w:adjustRightInd w:val="0"/>
        <w:snapToGrid w:val="0"/>
        <w:spacing w:before="0" w:beforeAutospacing="0" w:after="0" w:afterAutospacing="0" w:line="580" w:lineRule="exact"/>
        <w:ind w:right="0" w:rightChars="0" w:firstLine="960" w:firstLineChars="300"/>
        <w:jc w:val="both"/>
        <w:rPr>
          <w:rFonts w:hint="default" w:ascii="Times New Roman" w:hAnsi="Times New Roman" w:cs="Times New Roman"/>
          <w:color w:val="auto"/>
          <w:w w:val="100"/>
          <w:sz w:val="32"/>
          <w:szCs w:val="16"/>
          <w:lang w:val="en-US" w:eastAsia="zh-CN"/>
        </w:rPr>
      </w:pPr>
    </w:p>
    <w:p>
      <w:pPr>
        <w:keepNext w:val="0"/>
        <w:keepLines w:val="0"/>
        <w:widowControl w:val="0"/>
        <w:suppressLineNumbers w:val="0"/>
        <w:adjustRightInd w:val="0"/>
        <w:snapToGrid w:val="0"/>
        <w:spacing w:before="0" w:beforeAutospacing="0" w:after="0" w:afterAutospacing="0" w:line="580" w:lineRule="exact"/>
        <w:ind w:right="0" w:firstLine="640" w:firstLineChars="200"/>
        <w:jc w:val="both"/>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（二）项目绩效目标。</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000000"/>
          <w:sz w:val="32"/>
          <w:szCs w:val="32"/>
          <w:lang w:val="zh-CN"/>
        </w:rPr>
        <w:t>建立与全面建成小康社会目标相适应的残疾儿童康复救助制度体系，形成党委领导、政府主导、残联牵头、部门配合、社会参与的残疾儿童康复救助工作格局， 基本实现残疾儿童康复救助全覆盖</w:t>
      </w:r>
      <w:r>
        <w:rPr>
          <w:rFonts w:hint="eastAsia" w:ascii="仿宋_GB2312" w:cs="仿宋_GB2312"/>
          <w:color w:val="000000"/>
          <w:sz w:val="32"/>
          <w:szCs w:val="32"/>
          <w:lang w:val="zh-CN" w:eastAsia="zh-CN"/>
        </w:rPr>
        <w:t>。</w:t>
      </w:r>
      <w:r>
        <w:rPr>
          <w:rFonts w:hint="eastAsia" w:ascii="仿宋_GB2312" w:eastAsia="仿宋_GB2312" w:cs="仿宋_GB2312"/>
          <w:color w:val="auto"/>
          <w:sz w:val="32"/>
          <w:szCs w:val="32"/>
        </w:rPr>
        <w:t>2022年儿童康复项目0-6岁儿童康复任务目标53人；7-14岁儿童康复任务目标35人，共计88人，</w:t>
      </w:r>
      <w:r>
        <w:rPr>
          <w:rFonts w:hint="eastAsia" w:ascii="仿宋_GB2312" w:hAnsi="仿宋_GB2312" w:eastAsia="仿宋_GB2312" w:cs="仿宋_GB2312"/>
          <w:bCs/>
          <w:color w:val="auto"/>
          <w:sz w:val="32"/>
          <w:szCs w:val="32"/>
        </w:rPr>
        <w:t>救助标准每人不超过2万元/年。</w:t>
      </w:r>
    </w:p>
    <w:p>
      <w:pPr>
        <w:keepNext w:val="0"/>
        <w:keepLines w:val="0"/>
        <w:widowControl w:val="0"/>
        <w:numPr>
          <w:ilvl w:val="0"/>
          <w:numId w:val="0"/>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w:t>
      </w:r>
      <w:r>
        <w:rPr>
          <w:rFonts w:hint="eastAsia" w:eastAsia="楷体_GB2312" w:cs="楷体_GB2312"/>
          <w:b w:val="0"/>
          <w:bCs/>
          <w:kern w:val="2"/>
          <w:sz w:val="32"/>
          <w:szCs w:val="24"/>
          <w:lang w:val="zh-CN" w:eastAsia="zh-CN" w:bidi="ar"/>
        </w:rPr>
        <w:t>三</w:t>
      </w:r>
      <w:r>
        <w:rPr>
          <w:rFonts w:hint="eastAsia" w:ascii="Times New Roman" w:hAnsi="Times New Roman" w:eastAsia="楷体_GB2312" w:cs="楷体_GB2312"/>
          <w:b w:val="0"/>
          <w:bCs/>
          <w:kern w:val="2"/>
          <w:sz w:val="32"/>
          <w:szCs w:val="24"/>
          <w:lang w:val="zh-CN" w:eastAsia="zh-CN" w:bidi="ar"/>
        </w:rPr>
        <w:t>）项目资金申报相符性。</w:t>
      </w:r>
    </w:p>
    <w:p>
      <w:pPr>
        <w:numPr>
          <w:ilvl w:val="0"/>
          <w:numId w:val="0"/>
        </w:numPr>
        <w:snapToGrid w:val="0"/>
        <w:spacing w:before="0" w:beforeAutospacing="0" w:after="0" w:afterAutospacing="0" w:line="560" w:lineRule="exact"/>
        <w:ind w:right="0" w:rightChars="0" w:firstLine="640" w:firstLineChars="200"/>
        <w:jc w:val="both"/>
        <w:textAlignment w:val="baseline"/>
        <w:rPr>
          <w:rStyle w:val="15"/>
          <w:rFonts w:hint="default" w:ascii="Times New Roman" w:hAnsi="Times New Roman" w:eastAsia="仿宋_GB2312" w:cs="Times New Roman"/>
          <w:b w:val="0"/>
          <w:i w:val="0"/>
          <w:caps w:val="0"/>
          <w:spacing w:val="0"/>
          <w:w w:val="100"/>
          <w:kern w:val="2"/>
          <w:sz w:val="32"/>
          <w:szCs w:val="24"/>
          <w:lang w:val="zh-CN" w:eastAsia="zh-CN"/>
        </w:rPr>
      </w:pPr>
      <w:r>
        <w:rPr>
          <w:rFonts w:hint="eastAsia" w:eastAsia="楷体_GB2312" w:cs="楷体_GB2312"/>
          <w:b w:val="0"/>
          <w:bCs/>
          <w:kern w:val="2"/>
          <w:sz w:val="32"/>
          <w:szCs w:val="24"/>
          <w:shd w:val="clear" w:color="auto" w:fill="auto"/>
          <w:lang w:val="zh-CN" w:eastAsia="zh-CN" w:bidi="ar"/>
        </w:rPr>
        <w:t>项目资金为</w:t>
      </w:r>
      <w:r>
        <w:rPr>
          <w:rFonts w:hint="default" w:ascii="Times New Roman" w:hAnsi="Times New Roman" w:eastAsia="仿宋_GB2312" w:cs="Times New Roman"/>
          <w:snapToGrid w:val="0"/>
          <w:color w:val="000000"/>
          <w:spacing w:val="0"/>
          <w:kern w:val="0"/>
          <w:sz w:val="32"/>
          <w:szCs w:val="32"/>
        </w:rPr>
        <w:t>为贯彻落实国务院《“十四五”残疾人保障和发展规划》、省人民政府《关于建立残疾儿童康复救助制度的实施意见》（川府发〔2018〕40号），确保我市残疾儿童康复救助制度落实</w:t>
      </w:r>
      <w:r>
        <w:rPr>
          <w:rFonts w:hint="eastAsia" w:ascii="Times New Roman" w:hAnsi="Times New Roman" w:cs="Times New Roman"/>
          <w:snapToGrid w:val="0"/>
          <w:color w:val="000000"/>
          <w:spacing w:val="0"/>
          <w:kern w:val="0"/>
          <w:sz w:val="32"/>
          <w:szCs w:val="32"/>
          <w:lang w:eastAsia="zh-CN"/>
        </w:rPr>
        <w:t>。</w:t>
      </w:r>
      <w:r>
        <w:rPr>
          <w:rStyle w:val="15"/>
          <w:rFonts w:hint="default" w:ascii="Times New Roman" w:hAnsi="Times New Roman" w:eastAsia="仿宋_GB2312" w:cs="Times New Roman"/>
          <w:b w:val="0"/>
          <w:i w:val="0"/>
          <w:caps w:val="0"/>
          <w:spacing w:val="0"/>
          <w:w w:val="100"/>
          <w:kern w:val="2"/>
          <w:sz w:val="32"/>
          <w:szCs w:val="24"/>
          <w:lang w:val="zh-CN" w:eastAsia="zh-CN"/>
        </w:rPr>
        <w:t>项目申报内容与具体实施内容相符，申报目标合理可行。</w:t>
      </w:r>
    </w:p>
    <w:p>
      <w:pPr>
        <w:keepNext w:val="0"/>
        <w:keepLines w:val="0"/>
        <w:widowControl w:val="0"/>
        <w:numPr>
          <w:ilvl w:val="0"/>
          <w:numId w:val="0"/>
        </w:numPr>
        <w:suppressLineNumbers w:val="0"/>
        <w:adjustRightInd w:val="0"/>
        <w:snapToGrid w:val="0"/>
        <w:spacing w:before="0" w:beforeAutospacing="0" w:after="0" w:afterAutospacing="0" w:line="580" w:lineRule="exact"/>
        <w:ind w:right="0" w:rightChars="0" w:firstLine="960" w:firstLineChars="300"/>
        <w:jc w:val="both"/>
        <w:rPr>
          <w:rFonts w:hint="eastAsia" w:ascii="Times New Roman" w:hAnsi="Times New Roman" w:eastAsia="仿宋_GB2312" w:cs="仿宋_GB2312"/>
          <w:color w:val="000000"/>
          <w:kern w:val="2"/>
          <w:sz w:val="32"/>
          <w:szCs w:val="24"/>
          <w:lang w:val="zh-CN" w:eastAsia="zh-CN" w:bidi="ar"/>
        </w:rPr>
      </w:pPr>
    </w:p>
    <w:p>
      <w:pPr>
        <w:keepNext w:val="0"/>
        <w:keepLines w:val="0"/>
        <w:widowControl w:val="0"/>
        <w:numPr>
          <w:ilvl w:val="0"/>
          <w:numId w:val="0"/>
        </w:numPr>
        <w:suppressLineNumbers w:val="0"/>
        <w:adjustRightInd w:val="0"/>
        <w:snapToGrid w:val="0"/>
        <w:spacing w:before="0" w:beforeAutospacing="0" w:after="0" w:afterAutospacing="0" w:line="580" w:lineRule="exact"/>
        <w:ind w:left="720" w:leftChars="0" w:right="0" w:rightChars="0"/>
        <w:jc w:val="both"/>
        <w:rPr>
          <w:rFonts w:hint="default" w:ascii="Times New Roman" w:hAnsi="Times New Roman" w:eastAsia="仿宋_GB2312" w:cs="Times New Roman"/>
          <w:color w:val="auto"/>
          <w:w w:val="100"/>
          <w:sz w:val="32"/>
          <w:szCs w:val="16"/>
          <w:shd w:val="clear" w:color="auto" w:fill="auto"/>
          <w:lang w:val="en-US" w:eastAsia="zh-CN"/>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Times New Roman" w:hAnsi="Times New Roman" w:eastAsia="黑体" w:cs="Times New Roman"/>
          <w:sz w:val="32"/>
          <w:lang w:val="en-US"/>
        </w:rPr>
      </w:pPr>
      <w:r>
        <w:rPr>
          <w:rFonts w:hint="eastAsia" w:ascii="Times New Roman" w:hAnsi="Times New Roman" w:eastAsia="黑体" w:cs="黑体"/>
          <w:kern w:val="2"/>
          <w:sz w:val="32"/>
          <w:szCs w:val="24"/>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Times New Roman" w:hAnsi="Times New Roman" w:eastAsia="楷体_GB2312" w:cs="Times New Roman"/>
          <w:b w:val="0"/>
          <w:bCs w:val="0"/>
          <w:sz w:val="32"/>
          <w:lang w:val="zh-CN" w:eastAsia="zh-CN"/>
        </w:rPr>
      </w:pPr>
      <w:r>
        <w:rPr>
          <w:rFonts w:hint="default" w:ascii="Times New Roman" w:hAnsi="Times New Roman" w:eastAsia="仿宋_GB2312" w:cs="Times New Roman"/>
          <w:b w:val="0"/>
          <w:bCs w:val="0"/>
          <w:kern w:val="2"/>
          <w:sz w:val="32"/>
          <w:szCs w:val="24"/>
          <w:lang w:val="zh-CN" w:eastAsia="zh-CN" w:bidi="ar"/>
        </w:rPr>
        <w:tab/>
      </w:r>
      <w:r>
        <w:rPr>
          <w:rFonts w:hint="eastAsia" w:ascii="Times New Roman" w:hAnsi="Times New Roman" w:eastAsia="楷体_GB2312" w:cs="楷体_GB2312"/>
          <w:b w:val="0"/>
          <w:bCs w:val="0"/>
          <w:kern w:val="2"/>
          <w:sz w:val="32"/>
          <w:szCs w:val="24"/>
          <w:lang w:val="zh-CN" w:eastAsia="zh-CN" w:bidi="ar"/>
        </w:rPr>
        <w:t>（一）资金计划、到位及使用情况。</w:t>
      </w:r>
    </w:p>
    <w:p>
      <w:pPr>
        <w:pStyle w:val="7"/>
        <w:spacing w:before="93"/>
        <w:ind w:firstLine="640" w:firstLineChars="200"/>
        <w:rPr>
          <w:rFonts w:cs="仿宋_GB2312"/>
          <w:color w:val="000000"/>
          <w:kern w:val="2"/>
          <w:sz w:val="32"/>
          <w:szCs w:val="32"/>
          <w:lang w:val="zh-CN"/>
        </w:rPr>
      </w:pPr>
      <w:r>
        <w:rPr>
          <w:rFonts w:hint="default" w:ascii="Times New Roman" w:hAnsi="Times New Roman" w:eastAsia="楷体_GB2312" w:cs="Times New Roman"/>
          <w:kern w:val="2"/>
          <w:sz w:val="32"/>
          <w:szCs w:val="24"/>
          <w:lang w:val="zh-CN" w:eastAsia="zh-CN" w:bidi="ar"/>
        </w:rPr>
        <w:t>1</w:t>
      </w:r>
      <w:r>
        <w:rPr>
          <w:rFonts w:hint="eastAsia" w:ascii="Times New Roman" w:hAnsi="Times New Roman" w:eastAsia="楷体_GB2312" w:cs="楷体_GB2312"/>
          <w:kern w:val="2"/>
          <w:sz w:val="32"/>
          <w:szCs w:val="24"/>
          <w:lang w:val="zh-CN" w:eastAsia="zh-CN" w:bidi="ar"/>
        </w:rPr>
        <w:t>．资金计划及到位。</w:t>
      </w:r>
      <w:r>
        <w:rPr>
          <w:rFonts w:hint="eastAsia" w:eastAsia="楷体_GB2312" w:cs="楷体_GB2312"/>
          <w:kern w:val="2"/>
          <w:sz w:val="32"/>
          <w:szCs w:val="24"/>
          <w:lang w:val="zh-CN" w:eastAsia="zh-CN" w:bidi="ar"/>
        </w:rPr>
        <w:t>该资金</w:t>
      </w:r>
      <w:r>
        <w:rPr>
          <w:rFonts w:hint="eastAsia" w:cs="仿宋_GB2312"/>
          <w:kern w:val="2"/>
          <w:sz w:val="32"/>
          <w:szCs w:val="24"/>
          <w:lang w:val="zh-CN" w:eastAsia="zh-CN" w:bidi="ar"/>
        </w:rPr>
        <w:t>由</w:t>
      </w:r>
      <w:r>
        <w:rPr>
          <w:rFonts w:hint="default" w:ascii="Times New Roman" w:hAnsi="Times New Roman" w:eastAsia="仿宋_GB2312" w:cs="Times New Roman"/>
          <w:color w:val="auto"/>
          <w:w w:val="100"/>
          <w:sz w:val="32"/>
          <w:szCs w:val="16"/>
          <w:lang w:val="en-US" w:eastAsia="zh-CN"/>
        </w:rPr>
        <w:t>中央和省级财政残疾人事业发展补助资金</w:t>
      </w:r>
      <w:r>
        <w:rPr>
          <w:rFonts w:hint="eastAsia" w:ascii="Times New Roman" w:hAnsi="Times New Roman" w:cs="Times New Roman"/>
          <w:color w:val="auto"/>
          <w:w w:val="100"/>
          <w:sz w:val="32"/>
          <w:szCs w:val="16"/>
          <w:lang w:val="en-US" w:eastAsia="zh-CN"/>
        </w:rPr>
        <w:t>组成</w:t>
      </w:r>
      <w:r>
        <w:rPr>
          <w:rFonts w:hint="eastAsia" w:cs="Times New Roman"/>
          <w:color w:val="auto"/>
          <w:w w:val="100"/>
          <w:sz w:val="32"/>
          <w:szCs w:val="16"/>
          <w:lang w:val="en-US" w:eastAsia="zh-CN"/>
        </w:rPr>
        <w:t>，市级和区级财政配套完成。残疾儿童康复项目预算资金为170.53万元，</w:t>
      </w:r>
      <w:r>
        <w:rPr>
          <w:rFonts w:hint="eastAsia" w:cs="Times New Roman"/>
          <w:color w:val="000000"/>
          <w:w w:val="100"/>
          <w:sz w:val="32"/>
          <w:szCs w:val="16"/>
          <w:lang w:val="en-US" w:eastAsia="zh-CN"/>
        </w:rPr>
        <w:t>其中</w:t>
      </w:r>
      <w:r>
        <w:rPr>
          <w:rFonts w:hint="eastAsia" w:cs="仿宋_GB2312"/>
          <w:color w:val="000000"/>
          <w:kern w:val="2"/>
          <w:sz w:val="32"/>
          <w:szCs w:val="32"/>
          <w:lang w:val="zh-CN"/>
        </w:rPr>
        <w:t>中央资金预算安排合计：71.95万元，实际执行：71.95万元，执行率：100%；省级资金预算安排：42.34万，，实际执行：42.34万元，执行率：100%；市级资金预算安排：40万，实际执行：40万元，执行率：100%；区级资金预算安排：16.24万，实际执行：16.24万元，执行率：100%。</w:t>
      </w:r>
    </w:p>
    <w:p>
      <w:pPr>
        <w:keepNext w:val="0"/>
        <w:keepLines w:val="0"/>
        <w:widowControl w:val="0"/>
        <w:suppressLineNumbers w:val="0"/>
        <w:adjustRightInd w:val="0"/>
        <w:snapToGrid w:val="0"/>
        <w:spacing w:before="0" w:beforeAutospacing="0" w:after="0" w:afterAutospacing="0" w:line="580" w:lineRule="exact"/>
        <w:ind w:right="0" w:firstLine="960" w:firstLineChars="300"/>
        <w:jc w:val="both"/>
        <w:rPr>
          <w:rFonts w:hint="eastAsia" w:ascii="Times New Roman" w:hAnsi="Times New Roman" w:eastAsia="楷体_GB2312" w:cs="楷体_GB2312"/>
          <w:kern w:val="2"/>
          <w:sz w:val="32"/>
          <w:szCs w:val="24"/>
          <w:lang w:val="zh-CN" w:eastAsia="zh-CN" w:bidi="ar"/>
        </w:rPr>
      </w:pPr>
      <w:r>
        <w:rPr>
          <w:rFonts w:hint="default" w:ascii="Times New Roman" w:hAnsi="Times New Roman" w:eastAsia="楷体_GB2312" w:cs="Times New Roman"/>
          <w:kern w:val="2"/>
          <w:sz w:val="32"/>
          <w:szCs w:val="24"/>
          <w:lang w:val="zh-CN" w:eastAsia="zh-CN" w:bidi="ar"/>
        </w:rPr>
        <w:t>2</w:t>
      </w:r>
      <w:r>
        <w:rPr>
          <w:rFonts w:hint="eastAsia" w:ascii="Times New Roman" w:hAnsi="Times New Roman" w:eastAsia="楷体_GB2312" w:cs="楷体_GB2312"/>
          <w:kern w:val="2"/>
          <w:sz w:val="32"/>
          <w:szCs w:val="24"/>
          <w:lang w:val="zh-CN" w:eastAsia="zh-CN" w:bidi="ar"/>
        </w:rPr>
        <w:t>．资金使用。</w:t>
      </w:r>
    </w:p>
    <w:p>
      <w:pPr>
        <w:keepNext w:val="0"/>
        <w:keepLines w:val="0"/>
        <w:widowControl w:val="0"/>
        <w:suppressLineNumbers w:val="0"/>
        <w:adjustRightInd w:val="0"/>
        <w:snapToGrid w:val="0"/>
        <w:spacing w:before="0" w:beforeAutospacing="0" w:after="0" w:afterAutospacing="0" w:line="580" w:lineRule="exact"/>
        <w:ind w:right="0"/>
        <w:jc w:val="both"/>
        <w:rPr>
          <w:rFonts w:hint="eastAsia" w:cs="仿宋_GB2312"/>
          <w:color w:val="000000"/>
          <w:kern w:val="2"/>
          <w:sz w:val="32"/>
          <w:szCs w:val="32"/>
          <w:lang w:val="en-US" w:eastAsia="zh-CN"/>
        </w:rPr>
      </w:pPr>
      <w:r>
        <w:rPr>
          <w:rFonts w:hint="eastAsia" w:cs="仿宋_GB2312"/>
          <w:color w:val="000000"/>
          <w:kern w:val="2"/>
          <w:sz w:val="32"/>
          <w:szCs w:val="32"/>
          <w:lang w:val="en-US" w:eastAsia="zh-CN"/>
        </w:rPr>
        <w:t xml:space="preserve">     </w:t>
      </w:r>
      <w:r>
        <w:rPr>
          <w:rFonts w:hint="eastAsia" w:cs="仿宋_GB2312"/>
          <w:color w:val="000000"/>
          <w:kern w:val="2"/>
          <w:sz w:val="32"/>
          <w:szCs w:val="32"/>
          <w:lang w:val="zh-CN"/>
        </w:rPr>
        <w:t>沿滩区2022年儿童康复项目预算安排下达总计，</w:t>
      </w:r>
      <w:r>
        <w:rPr>
          <w:rFonts w:hint="eastAsia" w:cs="仿宋_GB2312"/>
          <w:color w:val="000000"/>
          <w:kern w:val="2"/>
          <w:sz w:val="32"/>
          <w:szCs w:val="32"/>
        </w:rPr>
        <w:t>170.53</w:t>
      </w:r>
      <w:r>
        <w:rPr>
          <w:rFonts w:hint="eastAsia" w:cs="仿宋_GB2312"/>
          <w:color w:val="000000"/>
          <w:kern w:val="2"/>
          <w:sz w:val="32"/>
          <w:szCs w:val="32"/>
          <w:lang w:val="zh-CN"/>
        </w:rPr>
        <w:t>万</w:t>
      </w:r>
      <w:r>
        <w:rPr>
          <w:rFonts w:hint="eastAsia" w:cs="仿宋_GB2312"/>
          <w:color w:val="000000"/>
          <w:kern w:val="2"/>
          <w:sz w:val="32"/>
          <w:szCs w:val="32"/>
          <w:lang w:val="en-US" w:eastAsia="zh-CN"/>
        </w:rPr>
        <w:t xml:space="preserve">    </w:t>
      </w:r>
      <w:r>
        <w:rPr>
          <w:rFonts w:hint="eastAsia" w:cs="仿宋_GB2312"/>
          <w:color w:val="000000"/>
          <w:kern w:val="2"/>
          <w:sz w:val="32"/>
          <w:szCs w:val="32"/>
          <w:lang w:val="zh-CN"/>
        </w:rPr>
        <w:t>元，完成支付</w:t>
      </w:r>
      <w:r>
        <w:rPr>
          <w:rFonts w:hint="eastAsia" w:cs="仿宋_GB2312"/>
          <w:color w:val="000000"/>
          <w:kern w:val="2"/>
          <w:sz w:val="32"/>
          <w:szCs w:val="32"/>
        </w:rPr>
        <w:t>170.53</w:t>
      </w:r>
      <w:r>
        <w:rPr>
          <w:rFonts w:hint="eastAsia" w:cs="仿宋_GB2312"/>
          <w:color w:val="000000"/>
          <w:kern w:val="2"/>
          <w:sz w:val="32"/>
          <w:szCs w:val="32"/>
          <w:lang w:val="zh-CN"/>
        </w:rPr>
        <w:t>万元，支付完成率为</w:t>
      </w:r>
      <w:r>
        <w:rPr>
          <w:rFonts w:hint="eastAsia" w:cs="仿宋_GB2312"/>
          <w:color w:val="000000"/>
          <w:kern w:val="2"/>
          <w:sz w:val="32"/>
          <w:szCs w:val="32"/>
        </w:rPr>
        <w:t>100</w:t>
      </w:r>
      <w:r>
        <w:rPr>
          <w:rFonts w:hint="eastAsia" w:cs="仿宋_GB2312"/>
          <w:color w:val="000000"/>
          <w:kern w:val="2"/>
          <w:sz w:val="32"/>
          <w:szCs w:val="32"/>
          <w:lang w:val="en-US" w:eastAsia="zh-CN"/>
        </w:rPr>
        <w:t>%。资金支付根据《自贡市“十四五”残疾儿童康复救助项目实施方案》对符合条件对象补助补贴。</w:t>
      </w:r>
    </w:p>
    <w:p>
      <w:pPr>
        <w:keepNext w:val="0"/>
        <w:keepLines w:val="0"/>
        <w:widowControl w:val="0"/>
        <w:suppressLineNumbers w:val="0"/>
        <w:adjustRightInd w:val="0"/>
        <w:snapToGrid w:val="0"/>
        <w:spacing w:before="0" w:beforeAutospacing="0" w:after="0" w:afterAutospacing="0" w:line="580" w:lineRule="exact"/>
        <w:ind w:right="0"/>
        <w:jc w:val="both"/>
        <w:rPr>
          <w:rFonts w:ascii="Times New Roman" w:hAnsi="Times New Roman" w:eastAsia="仿宋_GB2312" w:cs="Times New Roman"/>
          <w:sz w:val="32"/>
          <w:lang w:val="zh-CN" w:eastAsia="zh-CN"/>
        </w:rPr>
      </w:pPr>
    </w:p>
    <w:p>
      <w:pPr>
        <w:keepNext w:val="0"/>
        <w:keepLines w:val="0"/>
        <w:widowControl w:val="0"/>
        <w:suppressLineNumbers w:val="0"/>
        <w:adjustRightInd w:val="0"/>
        <w:snapToGrid w:val="0"/>
        <w:spacing w:before="0" w:beforeAutospacing="0" w:after="0" w:afterAutospacing="0" w:line="580" w:lineRule="exact"/>
        <w:ind w:right="0" w:firstLine="640" w:firstLineChars="200"/>
        <w:jc w:val="both"/>
        <w:rPr>
          <w:rFonts w:ascii="Times New Roman" w:hAnsi="Times New Roman" w:eastAsia="楷体_GB2312" w:cs="Times New Roman"/>
          <w:b w:val="0"/>
          <w:bCs/>
          <w:sz w:val="32"/>
          <w:lang w:val="zh-CN" w:eastAsia="zh-CN"/>
        </w:rPr>
      </w:pPr>
      <w:r>
        <w:rPr>
          <w:rFonts w:hint="eastAsia" w:ascii="Times New Roman" w:hAnsi="Times New Roman" w:eastAsia="楷体_GB2312" w:cs="楷体_GB2312"/>
          <w:b w:val="0"/>
          <w:bCs/>
          <w:kern w:val="2"/>
          <w:sz w:val="32"/>
          <w:szCs w:val="24"/>
          <w:lang w:val="zh-CN" w:eastAsia="zh-CN" w:bidi="ar"/>
        </w:rPr>
        <w:t>（二）项目财务管理情况。</w:t>
      </w:r>
    </w:p>
    <w:p>
      <w:pPr>
        <w:adjustRightInd w:val="0"/>
        <w:snapToGrid w:val="0"/>
        <w:spacing w:line="600" w:lineRule="exact"/>
        <w:ind w:firstLine="960" w:firstLineChars="300"/>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根据《会计法》《预算法》《行政单位财务法规》</w:t>
      </w:r>
      <w:r>
        <w:rPr>
          <w:rFonts w:ascii="仿宋_GB2312" w:eastAsia="仿宋_GB2312" w:cs="仿宋_GB2312"/>
          <w:color w:val="000000"/>
          <w:sz w:val="32"/>
          <w:szCs w:val="32"/>
        </w:rPr>
        <w:t>《四川省财政厅四川省民政厅四川省残疾人联合会关于印发困难群众救助等补助资金管理办法的通知》</w:t>
      </w:r>
      <w:r>
        <w:rPr>
          <w:rFonts w:hint="eastAsia" w:ascii="仿宋_GB2312" w:eastAsia="仿宋_GB2312" w:cs="仿宋_GB2312"/>
          <w:color w:val="000000"/>
          <w:sz w:val="32"/>
          <w:szCs w:val="32"/>
          <w:lang w:val="zh-CN"/>
        </w:rPr>
        <w:t>等相关财务法规的规定，</w:t>
      </w:r>
      <w:r>
        <w:rPr>
          <w:rFonts w:hint="eastAsia" w:ascii="仿宋_GB2312" w:cs="仿宋_GB2312"/>
          <w:color w:val="000000"/>
          <w:sz w:val="32"/>
          <w:szCs w:val="32"/>
          <w:lang w:val="zh-CN"/>
        </w:rPr>
        <w:t>沿滩</w:t>
      </w:r>
      <w:r>
        <w:rPr>
          <w:rFonts w:hint="eastAsia" w:ascii="仿宋_GB2312" w:eastAsia="仿宋_GB2312" w:cs="仿宋_GB2312"/>
          <w:color w:val="000000"/>
          <w:sz w:val="32"/>
          <w:szCs w:val="32"/>
          <w:lang w:val="zh-CN"/>
        </w:rPr>
        <w:t>区残联制定了严格的内部财务执行制度，严把支出关，层层审签，通过理事长办公会、执行理事会严格执行三重一大制度，重大事项公布制度等。对照项目资金管理办法，儿童康复项目严格执行财务管理制度，</w:t>
      </w:r>
      <w:r>
        <w:rPr>
          <w:rFonts w:hint="eastAsia" w:ascii="仿宋_GB2312" w:cs="仿宋_GB2312"/>
          <w:color w:val="000000"/>
          <w:sz w:val="32"/>
          <w:szCs w:val="32"/>
          <w:lang w:val="zh-CN"/>
        </w:rPr>
        <w:t>实行专款专项</w:t>
      </w:r>
      <w:r>
        <w:rPr>
          <w:rFonts w:hint="eastAsia" w:ascii="仿宋_GB2312" w:eastAsia="仿宋_GB2312" w:cs="仿宋_GB2312"/>
          <w:color w:val="000000"/>
          <w:sz w:val="32"/>
          <w:szCs w:val="32"/>
          <w:lang w:val="zh-CN"/>
        </w:rPr>
        <w:t>账务处理及时，会计核算规范。</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Times New Roman" w:hAnsi="Times New Roman" w:eastAsia="仿宋_GB2312" w:cs="仿宋_GB2312"/>
          <w:kern w:val="2"/>
          <w:sz w:val="32"/>
          <w:szCs w:val="24"/>
          <w:lang w:val="zh-CN" w:eastAsia="zh-CN" w:bidi="ar"/>
        </w:rPr>
      </w:pPr>
    </w:p>
    <w:p>
      <w:pPr>
        <w:keepNext w:val="0"/>
        <w:keepLines w:val="0"/>
        <w:widowControl w:val="0"/>
        <w:suppressLineNumbers w:val="0"/>
        <w:adjustRightInd w:val="0"/>
        <w:snapToGrid w:val="0"/>
        <w:spacing w:before="0" w:beforeAutospacing="0" w:after="0" w:afterAutospacing="0" w:line="580" w:lineRule="exact"/>
        <w:ind w:right="0" w:firstLine="640" w:firstLineChars="200"/>
        <w:jc w:val="both"/>
        <w:rPr>
          <w:rFonts w:ascii="Times New Roman" w:hAnsi="Times New Roman" w:eastAsia="楷体_GB2312" w:cs="Times New Roman"/>
          <w:b w:val="0"/>
          <w:bCs/>
          <w:sz w:val="32"/>
          <w:lang w:val="zh-CN" w:eastAsia="zh-CN"/>
        </w:rPr>
      </w:pPr>
      <w:r>
        <w:rPr>
          <w:rFonts w:hint="eastAsia" w:ascii="Times New Roman" w:hAnsi="Times New Roman" w:eastAsia="楷体_GB2312" w:cs="楷体_GB2312"/>
          <w:b w:val="0"/>
          <w:bCs/>
          <w:kern w:val="2"/>
          <w:sz w:val="32"/>
          <w:szCs w:val="24"/>
          <w:lang w:val="zh-CN" w:eastAsia="zh-CN" w:bidi="ar"/>
        </w:rPr>
        <w:t>（三）项目组织实施情况。</w:t>
      </w:r>
    </w:p>
    <w:p>
      <w:pPr>
        <w:spacing w:line="540" w:lineRule="exact"/>
        <w:ind w:firstLine="627" w:firstLineChars="196"/>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沿滩区残联高度重视残疾儿童康复工作，落实专人具体负责，按规定程序完成审批、转介、验收等工作。按照应救尽救的原则，</w:t>
      </w:r>
      <w:r>
        <w:rPr>
          <w:rFonts w:hint="eastAsia" w:ascii="仿宋_GB2312" w:hAnsi="仿宋_GB2312" w:eastAsia="仿宋_GB2312" w:cs="仿宋_GB2312"/>
          <w:bCs/>
          <w:color w:val="000000"/>
          <w:sz w:val="32"/>
          <w:szCs w:val="32"/>
        </w:rPr>
        <w:t>由残疾儿童监护人持具有资质医院诊断建议报告向区残联申请，经村、镇、区三级审签同意后由残疾儿童监护人自主选择定点康复机构接受康复服务。残疾儿童凭《项目申请审批表》到指定的定点康复机构办理康复救助注册登记，接受康复救助服务。在定点康复机构接受康复服务发生的费用，由区残联审核确定康复救助金额后在2万元限额内据实与定点康复机构直接结算。</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Times New Roman" w:hAnsi="Times New Roman" w:eastAsia="仿宋_GB2312" w:cs="Times New Roman"/>
          <w:sz w:val="32"/>
          <w:lang w:val="zh-CN" w:eastAsia="zh-CN"/>
        </w:rPr>
      </w:pPr>
      <w:r>
        <w:rPr>
          <w:rFonts w:hint="eastAsia" w:ascii="Times New Roman" w:hAnsi="Times New Roman" w:eastAsia="黑体" w:cs="黑体"/>
          <w:kern w:val="2"/>
          <w:sz w:val="32"/>
          <w:szCs w:val="24"/>
          <w:lang w:val="en-US" w:eastAsia="zh-CN" w:bidi="ar"/>
        </w:rPr>
        <w:t>三、项目绩效情况</w:t>
      </w:r>
      <w:r>
        <w:rPr>
          <w:rFonts w:hint="default" w:ascii="Times New Roman" w:hAnsi="Times New Roman" w:eastAsia="仿宋_GB2312" w:cs="Times New Roman"/>
          <w:kern w:val="2"/>
          <w:sz w:val="32"/>
          <w:szCs w:val="24"/>
          <w:lang w:val="zh-CN" w:eastAsia="zh-CN" w:bidi="ar"/>
        </w:rPr>
        <w:tab/>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hAnsi="宋体"/>
          <w:color w:val="000000"/>
          <w:sz w:val="32"/>
          <w:szCs w:val="32"/>
          <w:lang w:val="zh-CN"/>
        </w:rPr>
      </w:pPr>
      <w:r>
        <w:rPr>
          <w:rFonts w:hint="eastAsia" w:ascii="Times New Roman" w:hAnsi="Times New Roman" w:eastAsia="楷体_GB2312" w:cs="楷体_GB2312"/>
          <w:b w:val="0"/>
          <w:bCs/>
          <w:kern w:val="2"/>
          <w:sz w:val="32"/>
          <w:szCs w:val="24"/>
          <w:lang w:val="zh-CN" w:eastAsia="zh-CN" w:bidi="ar"/>
        </w:rPr>
        <w:t>（一）项目完成情况。</w:t>
      </w:r>
      <w:r>
        <w:rPr>
          <w:rFonts w:hint="eastAsia" w:hAnsi="宋体"/>
          <w:color w:val="000000"/>
          <w:sz w:val="32"/>
          <w:szCs w:val="32"/>
          <w:lang w:val="zh-CN"/>
        </w:rPr>
        <w:t>2022年度，沿滩区实际救助康复儿童131人，其中0-6岁儿童58人，7-14岁儿童73人，超额完成目标任务，符合应救尽救要求。</w:t>
      </w:r>
    </w:p>
    <w:p>
      <w:pPr>
        <w:keepNext w:val="0"/>
        <w:keepLines w:val="0"/>
        <w:widowControl w:val="0"/>
        <w:numPr>
          <w:ilvl w:val="0"/>
          <w:numId w:val="7"/>
        </w:numPr>
        <w:suppressLineNumbers w:val="0"/>
        <w:adjustRightInd w:val="0"/>
        <w:snapToGrid w:val="0"/>
        <w:spacing w:before="0" w:beforeAutospacing="0" w:after="0" w:afterAutospacing="0" w:line="580" w:lineRule="exact"/>
        <w:ind w:left="0" w:leftChars="0" w:right="0" w:firstLine="720" w:firstLineChars="0"/>
        <w:jc w:val="both"/>
        <w:rPr>
          <w:rFonts w:hint="eastAsia"/>
          <w:color w:val="000000"/>
        </w:rPr>
      </w:pPr>
      <w:r>
        <w:rPr>
          <w:rFonts w:hint="eastAsia" w:ascii="Times New Roman" w:hAnsi="Times New Roman" w:eastAsia="楷体_GB2312" w:cs="楷体_GB2312"/>
          <w:b w:val="0"/>
          <w:bCs/>
          <w:kern w:val="2"/>
          <w:sz w:val="32"/>
          <w:szCs w:val="24"/>
          <w:lang w:val="zh-CN" w:eastAsia="zh-CN" w:bidi="ar"/>
        </w:rPr>
        <w:t>项目效益情况。</w:t>
      </w:r>
      <w:r>
        <w:rPr>
          <w:rFonts w:hint="eastAsia"/>
          <w:color w:val="000000"/>
        </w:rPr>
        <w:t>项目实施后，康复儿童症状有所恢复，自理能力明显提高。经康复训练，我区共有</w:t>
      </w:r>
      <w:r>
        <w:rPr>
          <w:rFonts w:hint="eastAsia"/>
          <w:color w:val="000000"/>
          <w:lang w:val="en-US" w:eastAsia="zh-CN"/>
        </w:rPr>
        <w:t>35</w:t>
      </w:r>
      <w:r>
        <w:rPr>
          <w:rFonts w:hint="eastAsia"/>
          <w:color w:val="000000"/>
        </w:rPr>
        <w:t>名儿童进入普通学校跟班就读，儿童家长满意度</w:t>
      </w:r>
      <w:r>
        <w:rPr>
          <w:rFonts w:hint="eastAsia"/>
          <w:color w:val="000000"/>
          <w:lang w:val="en-US" w:eastAsia="zh-CN"/>
        </w:rPr>
        <w:t>85.6</w:t>
      </w:r>
      <w:r>
        <w:rPr>
          <w:rFonts w:hint="eastAsia"/>
          <w:color w:val="000000"/>
        </w:rPr>
        <w:t>%，社会效益明显</w:t>
      </w:r>
      <w:r>
        <w:rPr>
          <w:rFonts w:hint="eastAsia"/>
          <w:color w:val="000000"/>
          <w:lang w:eastAsia="zh-CN"/>
        </w:rPr>
        <w:t>。</w:t>
      </w:r>
    </w:p>
    <w:p>
      <w:pPr>
        <w:keepNext w:val="0"/>
        <w:keepLines w:val="0"/>
        <w:widowControl w:val="0"/>
        <w:numPr>
          <w:ilvl w:val="0"/>
          <w:numId w:val="0"/>
        </w:numPr>
        <w:suppressLineNumbers w:val="0"/>
        <w:adjustRightInd w:val="0"/>
        <w:snapToGrid w:val="0"/>
        <w:spacing w:before="0" w:beforeAutospacing="0" w:after="0" w:afterAutospacing="0" w:line="580" w:lineRule="exact"/>
        <w:ind w:left="720" w:leftChars="0" w:right="0" w:rightChars="0"/>
        <w:jc w:val="both"/>
        <w:rPr>
          <w:rFonts w:ascii="Times New Roman" w:hAnsi="Times New Roman" w:eastAsia="楷体_GB2312" w:cs="Times New Roman"/>
          <w:b/>
          <w:bCs w:val="0"/>
          <w:sz w:val="32"/>
          <w:lang w:val="zh-CN" w:eastAsia="zh-CN"/>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Times New Roman" w:hAnsi="Times New Roman" w:eastAsia="黑体" w:cs="Times New Roman"/>
          <w:sz w:val="32"/>
          <w:lang w:val="en-US"/>
        </w:rPr>
      </w:pPr>
      <w:r>
        <w:rPr>
          <w:rFonts w:hint="eastAsia" w:ascii="Times New Roman" w:hAnsi="Times New Roman" w:eastAsia="黑体" w:cs="黑体"/>
          <w:kern w:val="2"/>
          <w:sz w:val="32"/>
          <w:szCs w:val="24"/>
          <w:lang w:val="en-US" w:eastAsia="zh-CN" w:bidi="ar"/>
        </w:rPr>
        <w:t>四、问题及建议</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（一）存在的问题。</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1、各康复机构合同模板不统一，不便于管理。</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宋体" w:eastAsia="仿宋_GB2312"/>
          <w:color w:val="000000"/>
          <w:sz w:val="32"/>
          <w:szCs w:val="32"/>
          <w:lang w:val="zh-CN"/>
        </w:rPr>
        <w:t>2、由于财力紧张，</w:t>
      </w:r>
      <w:r>
        <w:rPr>
          <w:rFonts w:hint="eastAsia" w:ascii="仿宋_GB2312" w:hAnsi="仿宋_GB2312" w:eastAsia="仿宋_GB2312" w:cs="仿宋_GB2312"/>
          <w:color w:val="000000"/>
          <w:sz w:val="32"/>
          <w:szCs w:val="32"/>
          <w:lang w:val="zh-CN"/>
        </w:rPr>
        <w:t>区级配套资金不能及时到位，</w:t>
      </w:r>
      <w:r>
        <w:rPr>
          <w:rFonts w:hint="eastAsia" w:ascii="仿宋_GB2312" w:hAnsi="仿宋_GB2312" w:cs="仿宋_GB2312"/>
          <w:color w:val="000000"/>
          <w:sz w:val="32"/>
          <w:szCs w:val="32"/>
          <w:lang w:val="zh-CN"/>
        </w:rPr>
        <w:t>补助资金支付不及时。</w:t>
      </w:r>
    </w:p>
    <w:p>
      <w:pPr>
        <w:pStyle w:val="7"/>
        <w:rPr>
          <w:lang w:val="zh-CN" w:eastAsia="zh-CN"/>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Times New Roman" w:hAnsi="Times New Roman" w:eastAsia="仿宋_GB2312" w:cs="仿宋_GB2312"/>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（二）相关建议。</w:t>
      </w:r>
    </w:p>
    <w:p>
      <w:pPr>
        <w:pStyle w:val="7"/>
        <w:spacing w:before="93"/>
        <w:ind w:firstLine="640" w:firstLineChars="200"/>
        <w:rPr>
          <w:color w:val="000000"/>
          <w:sz w:val="32"/>
          <w:szCs w:val="32"/>
          <w:lang w:val="zh-CN"/>
        </w:rPr>
      </w:pPr>
      <w:r>
        <w:rPr>
          <w:rFonts w:hint="eastAsia"/>
          <w:color w:val="000000"/>
          <w:sz w:val="32"/>
          <w:szCs w:val="32"/>
          <w:lang w:val="zh-CN"/>
        </w:rPr>
        <w:t>1、制定标准合同模版，做到内容统一，管理更规范。</w:t>
      </w:r>
    </w:p>
    <w:p>
      <w:pPr>
        <w:pStyle w:val="7"/>
        <w:spacing w:before="93"/>
        <w:ind w:firstLine="640" w:firstLineChars="200"/>
        <w:rPr>
          <w:color w:val="000000"/>
          <w:lang w:val="zh-CN"/>
        </w:rPr>
      </w:pPr>
      <w:r>
        <w:rPr>
          <w:rFonts w:hint="eastAsia"/>
          <w:color w:val="000000"/>
          <w:sz w:val="32"/>
          <w:szCs w:val="32"/>
          <w:lang w:val="zh-CN"/>
        </w:rPr>
        <w:t>2、建议加强与其他部门沟通交流，确保资金及时到位，及时支付补助资金，提高支付效率。</w:t>
      </w:r>
    </w:p>
    <w:p>
      <w:pPr>
        <w:rPr>
          <w:color w:val="000000"/>
        </w:rPr>
      </w:pPr>
    </w:p>
    <w:p>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t>附件3</w:t>
      </w:r>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部门预算项目支出绩效自评表（2022年度）</w:t>
      </w:r>
    </w:p>
    <w:p>
      <w:pPr>
        <w:rPr>
          <w:rFonts w:hint="eastAsia" w:ascii="Times New Roman" w:hAnsi="Times New Roman"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object>
          <v:shape id="_x0000_i1025" o:spt="75" type="#_x0000_t75" style="height:266.35pt;width:415.15pt;" o:ole="t" filled="f" o:preferrelative="t" stroked="f" coordsize="21600,21600">
            <v:path/>
            <v:fill on="f" focussize="0,0"/>
            <v:stroke on="f"/>
            <v:imagedata r:id="rId14" o:title=""/>
            <o:lock v:ext="edit" aspectratio="f"/>
            <w10:wrap type="none"/>
            <w10:anchorlock/>
          </v:shape>
          <o:OLEObject Type="Embed" ProgID="Excel.Sheet.12" ShapeID="_x0000_i1025" DrawAspect="Content" ObjectID="_1468075725" r:id="rId13">
            <o:LockedField>false</o:LockedField>
          </o:OLEObject>
        </w:object>
      </w:r>
      <w:r>
        <w:rPr>
          <w:rFonts w:hint="eastAsia" w:ascii="Times New Roman" w:hAnsi="Times New Roman" w:eastAsia="黑体" w:cs="黑体"/>
          <w:kern w:val="2"/>
          <w:sz w:val="32"/>
          <w:szCs w:val="24"/>
          <w:lang w:val="en-US" w:eastAsia="zh-CN" w:bidi="ar"/>
        </w:rPr>
        <w:object>
          <v:shape id="_x0000_i1026" o:spt="75" type="#_x0000_t75" style="height:287.75pt;width:415.15pt;" o:ole="t" filled="f" o:preferrelative="t" stroked="f" coordsize="21600,21600">
            <v:path/>
            <v:fill on="f" focussize="0,0"/>
            <v:stroke on="f"/>
            <v:imagedata r:id="rId16" o:title=""/>
            <o:lock v:ext="edit" aspectratio="f"/>
            <w10:wrap type="none"/>
            <w10:anchorlock/>
          </v:shape>
          <o:OLEObject Type="Embed" ProgID="Excel.Sheet.12" ShapeID="_x0000_i1026" DrawAspect="Content" ObjectID="_1468075726" r:id="rId15">
            <o:LockedField>false</o:LockedField>
          </o:OLEObject>
        </w:object>
      </w:r>
      <w:r>
        <w:rPr>
          <w:rFonts w:hint="eastAsia" w:ascii="Times New Roman" w:hAnsi="Times New Roman" w:eastAsia="黑体" w:cs="黑体"/>
          <w:kern w:val="2"/>
          <w:sz w:val="32"/>
          <w:szCs w:val="24"/>
          <w:lang w:val="en-US" w:eastAsia="zh-CN" w:bidi="ar"/>
        </w:rPr>
        <w:br w:type="page"/>
      </w:r>
    </w:p>
    <w:p>
      <w:pPr>
        <w:widowControl/>
        <w:jc w:val="left"/>
        <w:rPr>
          <w:rStyle w:val="17"/>
          <w:rFonts w:ascii="黑体" w:hAnsi="黑体" w:eastAsia="黑体"/>
          <w:b w:val="0"/>
        </w:rPr>
      </w:pPr>
    </w:p>
    <w:p>
      <w:pPr>
        <w:spacing w:line="600" w:lineRule="exact"/>
        <w:jc w:val="center"/>
        <w:outlineLvl w:val="0"/>
        <w:rPr>
          <w:rFonts w:hint="eastAsia" w:ascii="黑体" w:hAnsi="黑体" w:eastAsia="黑体"/>
          <w:color w:val="000000"/>
          <w:sz w:val="44"/>
          <w:szCs w:val="44"/>
        </w:rPr>
      </w:pPr>
      <w:bookmarkStart w:id="57" w:name="_Toc31444"/>
      <w:bookmarkStart w:id="58"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4"/>
        <w:rPr>
          <w:rFonts w:hint="eastAsia"/>
        </w:rPr>
      </w:pPr>
      <w:r>
        <w:drawing>
          <wp:inline distT="0" distB="0" distL="114300" distR="114300">
            <wp:extent cx="5269230" cy="3834130"/>
            <wp:effectExtent l="0" t="0" r="7620" b="13970"/>
            <wp:docPr id="20" name="图片 14"/>
            <wp:cNvGraphicFramePr/>
            <a:graphic xmlns:a="http://schemas.openxmlformats.org/drawingml/2006/main">
              <a:graphicData uri="http://schemas.openxmlformats.org/drawingml/2006/picture">
                <pic:pic xmlns:pic="http://schemas.openxmlformats.org/drawingml/2006/picture">
                  <pic:nvPicPr>
                    <pic:cNvPr id="20" name="图片 14"/>
                    <pic:cNvPicPr/>
                  </pic:nvPicPr>
                  <pic:blipFill>
                    <a:blip r:embed="rId17"/>
                    <a:stretch>
                      <a:fillRect/>
                    </a:stretch>
                  </pic:blipFill>
                  <pic:spPr>
                    <a:xfrm>
                      <a:off x="0" y="0"/>
                      <a:ext cx="5269230" cy="3834130"/>
                    </a:xfrm>
                    <a:prstGeom prst="rect">
                      <a:avLst/>
                    </a:prstGeom>
                    <a:noFill/>
                    <a:ln>
                      <a:noFill/>
                    </a:ln>
                  </pic:spPr>
                </pic:pic>
              </a:graphicData>
            </a:graphic>
          </wp:inline>
        </w:drawing>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r>
        <w:drawing>
          <wp:anchor distT="0" distB="0" distL="114300" distR="114300" simplePos="0" relativeHeight="251668480" behindDoc="0" locked="0" layoutInCell="1" allowOverlap="1">
            <wp:simplePos x="0" y="0"/>
            <wp:positionH relativeFrom="column">
              <wp:posOffset>0</wp:posOffset>
            </wp:positionH>
            <wp:positionV relativeFrom="paragraph">
              <wp:posOffset>-2838450</wp:posOffset>
            </wp:positionV>
            <wp:extent cx="5272405" cy="3397250"/>
            <wp:effectExtent l="0" t="0" r="4445" b="12700"/>
            <wp:wrapSquare wrapText="bothSides"/>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8"/>
                    <a:stretch>
                      <a:fillRect/>
                    </a:stretch>
                  </pic:blipFill>
                  <pic:spPr>
                    <a:xfrm>
                      <a:off x="0" y="0"/>
                      <a:ext cx="5272405" cy="3397250"/>
                    </a:xfrm>
                    <a:prstGeom prst="rect">
                      <a:avLst/>
                    </a:prstGeom>
                    <a:noFill/>
                    <a:ln>
                      <a:noFill/>
                    </a:ln>
                  </pic:spPr>
                </pic:pic>
              </a:graphicData>
            </a:graphic>
          </wp:anchor>
        </w:drawing>
      </w: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r>
        <w:drawing>
          <wp:anchor distT="0" distB="0" distL="114300" distR="114300" simplePos="0" relativeHeight="251669504" behindDoc="0" locked="0" layoutInCell="1" allowOverlap="1">
            <wp:simplePos x="0" y="0"/>
            <wp:positionH relativeFrom="column">
              <wp:posOffset>0</wp:posOffset>
            </wp:positionH>
            <wp:positionV relativeFrom="paragraph">
              <wp:posOffset>-3048000</wp:posOffset>
            </wp:positionV>
            <wp:extent cx="5269230" cy="3337560"/>
            <wp:effectExtent l="0" t="0" r="7620" b="15240"/>
            <wp:wrapSquare wrapText="bothSides"/>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pic:cNvPicPr>
                      <a:picLocks noChangeAspect="1"/>
                    </pic:cNvPicPr>
                  </pic:nvPicPr>
                  <pic:blipFill>
                    <a:blip r:embed="rId19"/>
                    <a:stretch>
                      <a:fillRect/>
                    </a:stretch>
                  </pic:blipFill>
                  <pic:spPr>
                    <a:xfrm>
                      <a:off x="0" y="0"/>
                      <a:ext cx="5269230" cy="3337560"/>
                    </a:xfrm>
                    <a:prstGeom prst="rect">
                      <a:avLst/>
                    </a:prstGeom>
                    <a:noFill/>
                    <a:ln>
                      <a:noFill/>
                    </a:ln>
                  </pic:spPr>
                </pic:pic>
              </a:graphicData>
            </a:graphic>
          </wp:anchor>
        </w:drawing>
      </w:r>
    </w:p>
    <w:p>
      <w:pPr>
        <w:spacing w:line="600" w:lineRule="exact"/>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6"/>
      <w:bookmarkEnd w:id="57"/>
      <w:bookmarkEnd w:id="58"/>
    </w:p>
    <w:p>
      <w:pPr>
        <w:pStyle w:val="6"/>
        <w:rPr>
          <w:rFonts w:ascii="仿宋" w:hAnsi="仿宋" w:eastAsia="仿宋"/>
          <w:color w:val="auto"/>
          <w:highlight w:val="none"/>
        </w:rPr>
      </w:pPr>
      <w:bookmarkStart w:id="59" w:name="_Toc5286"/>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59"/>
    </w:p>
    <w:p>
      <w:pPr>
        <w:pStyle w:val="6"/>
        <w:rPr>
          <w:rFonts w:ascii="仿宋" w:hAnsi="仿宋" w:eastAsia="仿宋"/>
          <w:color w:val="auto"/>
          <w:highlight w:val="none"/>
        </w:rPr>
      </w:pPr>
      <w:bookmarkStart w:id="60" w:name="_Toc8158"/>
      <w:bookmarkStart w:id="61" w:name="_Toc15396620"/>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60"/>
      <w:bookmarkEnd w:id="61"/>
    </w:p>
    <w:p>
      <w:pPr>
        <w:pStyle w:val="6"/>
        <w:rPr>
          <w:rFonts w:ascii="仿宋" w:hAnsi="仿宋" w:eastAsia="仿宋"/>
          <w:color w:val="auto"/>
          <w:highlight w:val="none"/>
        </w:rPr>
      </w:pPr>
      <w:bookmarkStart w:id="62" w:name="_Toc26012"/>
      <w:bookmarkStart w:id="63" w:name="_Toc15396621"/>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62"/>
      <w:bookmarkEnd w:id="63"/>
    </w:p>
    <w:p>
      <w:pPr>
        <w:pStyle w:val="6"/>
        <w:rPr>
          <w:rFonts w:ascii="仿宋" w:hAnsi="仿宋" w:eastAsia="仿宋"/>
          <w:b w:val="0"/>
          <w:color w:val="auto"/>
          <w:highlight w:val="none"/>
        </w:rPr>
      </w:pPr>
      <w:bookmarkStart w:id="64" w:name="_Toc15396622"/>
      <w:bookmarkStart w:id="65" w:name="_Toc18909"/>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64"/>
      <w:bookmarkEnd w:id="65"/>
    </w:p>
    <w:p>
      <w:pPr>
        <w:pStyle w:val="6"/>
        <w:rPr>
          <w:rStyle w:val="21"/>
          <w:rFonts w:ascii="仿宋" w:hAnsi="仿宋" w:eastAsia="仿宋"/>
          <w:b w:val="0"/>
          <w:bCs w:val="0"/>
          <w:color w:val="auto"/>
          <w:highlight w:val="none"/>
        </w:rPr>
      </w:pPr>
      <w:bookmarkStart w:id="66" w:name="_Toc15396623"/>
      <w:bookmarkStart w:id="67" w:name="_Toc31130"/>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66"/>
      <w:bookmarkEnd w:id="67"/>
      <w:bookmarkStart w:id="68" w:name="_Toc15396624"/>
    </w:p>
    <w:p>
      <w:pPr>
        <w:pStyle w:val="6"/>
        <w:rPr>
          <w:rFonts w:ascii="仿宋" w:hAnsi="仿宋" w:eastAsia="仿宋"/>
          <w:color w:val="auto"/>
          <w:highlight w:val="none"/>
        </w:rPr>
      </w:pPr>
      <w:bookmarkStart w:id="69" w:name="_Toc7698"/>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68"/>
      <w:bookmarkEnd w:id="69"/>
    </w:p>
    <w:p>
      <w:pPr>
        <w:pStyle w:val="6"/>
        <w:rPr>
          <w:rFonts w:ascii="仿宋" w:hAnsi="仿宋" w:eastAsia="仿宋"/>
          <w:color w:val="auto"/>
          <w:highlight w:val="none"/>
        </w:rPr>
      </w:pPr>
      <w:bookmarkStart w:id="70" w:name="_Toc15396625"/>
      <w:bookmarkStart w:id="71" w:name="_Toc31249"/>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70"/>
      <w:bookmarkEnd w:id="71"/>
    </w:p>
    <w:p>
      <w:pPr>
        <w:pStyle w:val="6"/>
        <w:rPr>
          <w:rFonts w:ascii="仿宋" w:hAnsi="仿宋" w:eastAsia="仿宋"/>
          <w:color w:val="auto"/>
          <w:highlight w:val="none"/>
        </w:rPr>
      </w:pPr>
      <w:bookmarkStart w:id="72" w:name="_Toc15396626"/>
      <w:bookmarkStart w:id="73" w:name="_Toc7317"/>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72"/>
      <w:bookmarkEnd w:id="73"/>
    </w:p>
    <w:p>
      <w:pPr>
        <w:pStyle w:val="6"/>
        <w:rPr>
          <w:rFonts w:ascii="仿宋" w:hAnsi="仿宋" w:eastAsia="仿宋"/>
          <w:color w:val="auto"/>
          <w:highlight w:val="none"/>
        </w:rPr>
      </w:pPr>
      <w:bookmarkStart w:id="74" w:name="_Toc15396627"/>
      <w:bookmarkStart w:id="75" w:name="_Toc6515"/>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74"/>
      <w:bookmarkEnd w:id="75"/>
    </w:p>
    <w:p>
      <w:pPr>
        <w:pStyle w:val="6"/>
        <w:rPr>
          <w:rFonts w:ascii="仿宋" w:hAnsi="仿宋" w:eastAsia="仿宋"/>
          <w:color w:val="auto"/>
          <w:highlight w:val="none"/>
        </w:rPr>
      </w:pPr>
      <w:bookmarkStart w:id="76" w:name="_Toc15396628"/>
      <w:bookmarkStart w:id="77" w:name="_Toc7620"/>
      <w:r>
        <w:rPr>
          <w:rStyle w:val="21"/>
          <w:rFonts w:hint="eastAsia" w:ascii="仿宋" w:hAnsi="仿宋" w:eastAsia="仿宋"/>
          <w:b w:val="0"/>
          <w:bCs w:val="0"/>
          <w:color w:val="auto"/>
          <w:highlight w:val="none"/>
        </w:rPr>
        <w:t>十、</w:t>
      </w:r>
      <w:bookmarkEnd w:id="76"/>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77"/>
    </w:p>
    <w:p>
      <w:pPr>
        <w:pStyle w:val="6"/>
        <w:rPr>
          <w:rFonts w:ascii="仿宋" w:hAnsi="仿宋" w:eastAsia="仿宋"/>
          <w:color w:val="auto"/>
          <w:highlight w:val="none"/>
        </w:rPr>
      </w:pPr>
      <w:bookmarkStart w:id="78" w:name="_Toc15396629"/>
      <w:bookmarkStart w:id="79" w:name="_Toc26497"/>
      <w:r>
        <w:rPr>
          <w:rStyle w:val="21"/>
          <w:rFonts w:hint="eastAsia" w:ascii="仿宋" w:hAnsi="仿宋" w:eastAsia="仿宋"/>
          <w:b w:val="0"/>
          <w:bCs w:val="0"/>
          <w:color w:val="auto"/>
          <w:highlight w:val="none"/>
        </w:rPr>
        <w:t>十一、</w:t>
      </w:r>
      <w:bookmarkEnd w:id="78"/>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79"/>
    </w:p>
    <w:p>
      <w:pPr>
        <w:pStyle w:val="6"/>
        <w:rPr>
          <w:rFonts w:ascii="仿宋" w:hAnsi="仿宋" w:eastAsia="仿宋"/>
          <w:color w:val="auto"/>
          <w:highlight w:val="none"/>
        </w:rPr>
      </w:pPr>
      <w:bookmarkStart w:id="80" w:name="_Toc15396630"/>
      <w:bookmarkStart w:id="81" w:name="_Toc28654"/>
      <w:r>
        <w:rPr>
          <w:rStyle w:val="21"/>
          <w:rFonts w:hint="eastAsia" w:ascii="仿宋" w:hAnsi="仿宋" w:eastAsia="仿宋"/>
          <w:b w:val="0"/>
          <w:bCs w:val="0"/>
          <w:color w:val="auto"/>
          <w:highlight w:val="none"/>
        </w:rPr>
        <w:t>十二、</w:t>
      </w:r>
      <w:bookmarkEnd w:id="80"/>
      <w:r>
        <w:rPr>
          <w:rStyle w:val="21"/>
          <w:rFonts w:hint="eastAsia" w:ascii="仿宋" w:hAnsi="仿宋" w:eastAsia="仿宋"/>
          <w:b w:val="0"/>
          <w:bCs w:val="0"/>
          <w:color w:val="auto"/>
          <w:highlight w:val="none"/>
          <w:lang w:eastAsia="zh-CN"/>
        </w:rPr>
        <w:t>国有资本经营预算财政拨款支出决算表</w:t>
      </w:r>
      <w:bookmarkEnd w:id="81"/>
    </w:p>
    <w:p>
      <w:pPr>
        <w:pStyle w:val="6"/>
        <w:rPr>
          <w:rFonts w:hint="eastAsia" w:ascii="仿宋_GB2312" w:hAnsi="仿宋_GB2312" w:eastAsia="仿宋_GB2312" w:cs="仿宋_GB2312"/>
          <w:b w:val="0"/>
          <w:color w:val="000000"/>
        </w:rPr>
      </w:pPr>
      <w:bookmarkStart w:id="82" w:name="_Toc15396631"/>
      <w:bookmarkStart w:id="83" w:name="_Toc10409"/>
      <w:r>
        <w:rPr>
          <w:rStyle w:val="21"/>
          <w:rFonts w:hint="eastAsia" w:ascii="仿宋" w:hAnsi="仿宋" w:eastAsia="仿宋"/>
          <w:b w:val="0"/>
          <w:bCs w:val="0"/>
          <w:color w:val="auto"/>
          <w:highlight w:val="none"/>
        </w:rPr>
        <w:t>十三、</w:t>
      </w:r>
      <w:bookmarkEnd w:id="82"/>
      <w:r>
        <w:rPr>
          <w:rStyle w:val="21"/>
          <w:rFonts w:hint="eastAsia" w:ascii="仿宋" w:hAnsi="仿宋" w:eastAsia="仿宋"/>
          <w:b w:val="0"/>
          <w:bCs w:val="0"/>
          <w:color w:val="auto"/>
          <w:highlight w:val="none"/>
          <w:lang w:eastAsia="zh-CN"/>
        </w:rPr>
        <w:t>财政拨款“三公”经费支出决算表</w:t>
      </w:r>
      <w:bookmarkEnd w:id="83"/>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Cambria">
    <w:altName w:val="DejaVu Math TeX Gyre"/>
    <w:panose1 w:val="02040503050406030204"/>
    <w:charset w:val="00"/>
    <w:family w:val="roman"/>
    <w:pitch w:val="default"/>
    <w:sig w:usb0="00000000" w:usb1="00000000" w:usb2="02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8A7AA"/>
    <w:multiLevelType w:val="singleLevel"/>
    <w:tmpl w:val="B798A7AA"/>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AF2D8F1"/>
    <w:multiLevelType w:val="singleLevel"/>
    <w:tmpl w:val="DAF2D8F1"/>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4EFA3819"/>
    <w:multiLevelType w:val="singleLevel"/>
    <w:tmpl w:val="4EFA3819"/>
    <w:lvl w:ilvl="0" w:tentative="0">
      <w:start w:val="2"/>
      <w:numFmt w:val="decimal"/>
      <w:lvlText w:val="%1."/>
      <w:lvlJc w:val="left"/>
      <w:pPr>
        <w:tabs>
          <w:tab w:val="left" w:pos="312"/>
        </w:tabs>
      </w:pPr>
    </w:lvl>
  </w:abstractNum>
  <w:abstractNum w:abstractNumId="6">
    <w:nsid w:val="708F8835"/>
    <w:multiLevelType w:val="singleLevel"/>
    <w:tmpl w:val="708F8835"/>
    <w:lvl w:ilvl="0" w:tentative="0">
      <w:start w:val="2"/>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DFjYTFiYWQwYWY0ODhkNTEwNzNhMzhmYmM2OGQifQ=="/>
  </w:docVars>
  <w:rsids>
    <w:rsidRoot w:val="00172A27"/>
    <w:rsid w:val="06280F37"/>
    <w:rsid w:val="06D96529"/>
    <w:rsid w:val="099B257A"/>
    <w:rsid w:val="0ADB3A53"/>
    <w:rsid w:val="0EEC54CF"/>
    <w:rsid w:val="0F044D0F"/>
    <w:rsid w:val="10055BE0"/>
    <w:rsid w:val="119C396E"/>
    <w:rsid w:val="11F63409"/>
    <w:rsid w:val="17F751E8"/>
    <w:rsid w:val="1B2D58F5"/>
    <w:rsid w:val="1EF7441C"/>
    <w:rsid w:val="23A352EF"/>
    <w:rsid w:val="255C7CF3"/>
    <w:rsid w:val="275F0ADD"/>
    <w:rsid w:val="2A8C440D"/>
    <w:rsid w:val="2D1E10DF"/>
    <w:rsid w:val="34EF6A61"/>
    <w:rsid w:val="37B729B8"/>
    <w:rsid w:val="3BB107BF"/>
    <w:rsid w:val="3E4169FF"/>
    <w:rsid w:val="3E615816"/>
    <w:rsid w:val="40275C32"/>
    <w:rsid w:val="43FEC932"/>
    <w:rsid w:val="45912351"/>
    <w:rsid w:val="48C31849"/>
    <w:rsid w:val="4C43011D"/>
    <w:rsid w:val="4D4D43E0"/>
    <w:rsid w:val="550919B2"/>
    <w:rsid w:val="57CB5E90"/>
    <w:rsid w:val="57FC6C7D"/>
    <w:rsid w:val="5A040EEC"/>
    <w:rsid w:val="5D3E75DF"/>
    <w:rsid w:val="5FC9735A"/>
    <w:rsid w:val="60CB38E5"/>
    <w:rsid w:val="62196A3A"/>
    <w:rsid w:val="6504078C"/>
    <w:rsid w:val="65FFAF84"/>
    <w:rsid w:val="6B0236D9"/>
    <w:rsid w:val="71946BA2"/>
    <w:rsid w:val="726E3979"/>
    <w:rsid w:val="72F127DB"/>
    <w:rsid w:val="7EBFE696"/>
    <w:rsid w:val="9B9F991E"/>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style>
  <w:style w:type="paragraph" w:styleId="3">
    <w:name w:val="Body Text Indent"/>
    <w:basedOn w:val="1"/>
    <w:qFormat/>
    <w:uiPriority w:val="0"/>
    <w:pPr>
      <w:spacing w:line="560" w:lineRule="exact"/>
      <w:ind w:firstLine="640" w:firstLineChars="200"/>
    </w:pPr>
  </w:style>
  <w:style w:type="paragraph" w:styleId="4">
    <w:name w:val="index 5"/>
    <w:basedOn w:val="1"/>
    <w:next w:val="1"/>
    <w:qFormat/>
    <w:uiPriority w:val="0"/>
    <w:pPr>
      <w:ind w:left="1680"/>
    </w:pPr>
  </w:style>
  <w:style w:type="paragraph" w:styleId="7">
    <w:name w:val="Body Text"/>
    <w:basedOn w:val="1"/>
    <w:qFormat/>
    <w:uiPriority w:val="99"/>
    <w:pPr>
      <w:spacing w:beforeLines="30"/>
    </w:pPr>
    <w:rPr>
      <w:rFonts w:ascii="仿宋_GB2312" w:eastAsia="仿宋_GB2312"/>
      <w:kern w:val="0"/>
      <w:sz w:val="24"/>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character" w:styleId="14">
    <w:name w:val="Strong"/>
    <w:basedOn w:val="15"/>
    <w:qFormat/>
    <w:uiPriority w:val="99"/>
    <w:rPr>
      <w:rFonts w:cs="Times New Roman"/>
      <w:b/>
    </w:rPr>
  </w:style>
  <w:style w:type="character" w:customStyle="1" w:styleId="15">
    <w:name w:val="NormalCharacter"/>
    <w:semiHidden/>
    <w:qFormat/>
    <w:uiPriority w:val="0"/>
  </w:style>
  <w:style w:type="character" w:styleId="16">
    <w:name w:val="Hyperlink"/>
    <w:unhideWhenUsed/>
    <w:qFormat/>
    <w:uiPriority w:val="99"/>
    <w:rPr>
      <w:color w:val="0000FF"/>
      <w:u w:val="single"/>
    </w:rPr>
  </w:style>
  <w:style w:type="character" w:customStyle="1" w:styleId="17">
    <w:name w:val=" Char Char6"/>
    <w:basedOn w:val="13"/>
    <w:link w:val="5"/>
    <w:qFormat/>
    <w:locked/>
    <w:uiPriority w:val="9"/>
    <w:rPr>
      <w:b/>
      <w:bCs/>
      <w:kern w:val="44"/>
      <w:sz w:val="44"/>
      <w:szCs w:val="44"/>
    </w:rPr>
  </w:style>
  <w:style w:type="character" w:customStyle="1" w:styleId="18">
    <w:name w:val=" Char Char5"/>
    <w:basedOn w:val="13"/>
    <w:link w:val="6"/>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2 Char"/>
    <w:basedOn w:val="13"/>
    <w:link w:val="6"/>
    <w:qFormat/>
    <w:uiPriority w:val="9"/>
    <w:rPr>
      <w:rFonts w:asciiTheme="majorHAnsi" w:hAnsiTheme="majorHAnsi" w:eastAsiaTheme="majorEastAsia" w:cstheme="majorBidi"/>
      <w:b/>
      <w:bCs/>
      <w:kern w:val="2"/>
      <w:sz w:val="32"/>
      <w:szCs w:val="32"/>
    </w:rPr>
  </w:style>
  <w:style w:type="paragraph" w:customStyle="1" w:styleId="22">
    <w:name w:val="四号正文"/>
    <w:basedOn w:val="1"/>
    <w:qFormat/>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png"/><Relationship Id="rId17" Type="http://schemas.openxmlformats.org/officeDocument/2006/relationships/image" Target="media/image3.emf"/><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7.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manualLayout>
                  <c:x val="0.00566679259539101"/>
                  <c:y val="-0.0099337748344370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1177.2万元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1324.88万元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1177.2</c:v>
                </c:pt>
                <c:pt idx="1">
                  <c:v>1324.88</c:v>
                </c:pt>
              </c:numCache>
            </c:numRef>
          </c:val>
        </c:ser>
        <c:dLbls>
          <c:showLegendKey val="0"/>
          <c:showVal val="1"/>
          <c:showCatName val="0"/>
          <c:showSerName val="0"/>
          <c:showPercent val="0"/>
          <c:showBubbleSize val="0"/>
        </c:dLbls>
        <c:gapWidth val="246"/>
        <c:overlap val="-28"/>
        <c:axId val="438706093"/>
        <c:axId val="94184537"/>
      </c:barChart>
      <c:catAx>
        <c:axId val="438706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84537"/>
        <c:crosses val="autoZero"/>
        <c:auto val="1"/>
        <c:lblAlgn val="ctr"/>
        <c:lblOffset val="100"/>
        <c:noMultiLvlLbl val="0"/>
      </c:catAx>
      <c:valAx>
        <c:axId val="94184537"/>
        <c:scaling>
          <c:orientation val="minMax"/>
          <c:min val="0"/>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7060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rgbClr val="5B9BD5"/>
            </a:solidFill>
            <a:ln>
              <a:noFill/>
            </a:ln>
            <a:effectLst/>
          </c:spPr>
          <c:invertIfNegative val="0"/>
          <c:dLbls>
            <c:dLbl>
              <c:idx val="0"/>
              <c:layout>
                <c:manualLayout>
                  <c:x val="0.00566679259539101"/>
                  <c:y val="-0.009933774834437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1324.88</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2670948243294"/>
                      <c:h val="0.0867549668874172"/>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1071.54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1692482055157"/>
                      <c:h val="0.064459161147902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1324.88</c:v>
                </c:pt>
                <c:pt idx="1">
                  <c:v>1071.54</c:v>
                </c:pt>
              </c:numCache>
            </c:numRef>
          </c:val>
        </c:ser>
        <c:dLbls>
          <c:showLegendKey val="0"/>
          <c:showVal val="1"/>
          <c:showCatName val="0"/>
          <c:showSerName val="0"/>
          <c:showPercent val="0"/>
          <c:showBubbleSize val="0"/>
        </c:dLbls>
        <c:gapWidth val="219"/>
        <c:overlap val="-27"/>
        <c:axId val="438706093"/>
        <c:axId val="94184537"/>
      </c:barChart>
      <c:catAx>
        <c:axId val="43870609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4184537"/>
        <c:crosses val="autoZero"/>
        <c:auto val="1"/>
        <c:lblAlgn val="ctr"/>
        <c:lblOffset val="100"/>
        <c:noMultiLvlLbl val="0"/>
      </c:catAx>
      <c:valAx>
        <c:axId val="94184537"/>
        <c:scaling>
          <c:orientation val="minMax"/>
          <c:min val="0"/>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3870609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Lbls>
            <c:dLbl>
              <c:idx val="0"/>
              <c:layout>
                <c:manualLayout>
                  <c:x val="0.272433364145403"/>
                  <c:y val="-0.08195244847030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一般公共预算财政拨款收入, </a:t>
                    </a:r>
                    <a:r>
                      <a:rPr lang="en-US" altLang="zh-CN"/>
                      <a:t>943.28</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39451299833389"/>
                  <c:y val="0.01690322065952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政府性基金预算财政拨款收入,</a:t>
                    </a:r>
                    <a:r>
                      <a:rPr lang="en-US" altLang="zh-CN"/>
                      <a:t>128.26</a:t>
                    </a:r>
                    <a:r>
                      <a:rPr altLang="en-US"/>
                      <a:t>万元</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1259.28</c:v>
                </c:pt>
                <c:pt idx="1">
                  <c:v>31.4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68505079825835"/>
          <c:y val="0.0067084078711985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Lbls>
            <c:dLbl>
              <c:idx val="0"/>
              <c:layout>
                <c:manualLayout>
                  <c:x val="0.0422040551116846"/>
                  <c:y val="0.1272661423486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基本支出, </a:t>
                    </a:r>
                    <a:r>
                      <a:rPr lang="en-US" altLang="zh-CN"/>
                      <a:t>576.26</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47874987548716"/>
                  <c:y val="0.03169053590944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项目支出,</a:t>
                    </a:r>
                  </a:p>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495.28</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558.34</c:v>
                </c:pt>
                <c:pt idx="1">
                  <c:v>635.48</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78082005176407"/>
          <c:y val="0.0581549035157283"/>
          <c:w val="0.884266448712709"/>
          <c:h val="0.81401004493788"/>
        </c:manualLayout>
      </c:layout>
      <c:barChart>
        <c:barDir val="col"/>
        <c:grouping val="clustered"/>
        <c:varyColors val="0"/>
        <c:ser>
          <c:idx val="0"/>
          <c:order val="0"/>
          <c:tx>
            <c:strRef>
              <c:f>Sheet1!$B$1</c:f>
              <c:strCache>
                <c:ptCount val="1"/>
                <c:pt idx="0">
                  <c:v/>
                </c:pt>
              </c:strCache>
            </c:strRef>
          </c:tx>
          <c:spPr>
            <a:solidFill>
              <a:srgbClr val="5B9BD5"/>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1324.88</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1071.54</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1324.88</c:v>
                </c:pt>
                <c:pt idx="1">
                  <c:v>1071.54</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646914589293"/>
          <c:y val="0.108379592915675"/>
          <c:w val="0.884266448712709"/>
          <c:h val="0.81401004493788"/>
        </c:manualLayout>
      </c:layout>
      <c:barChart>
        <c:barDir val="col"/>
        <c:grouping val="clustered"/>
        <c:varyColors val="0"/>
        <c:ser>
          <c:idx val="0"/>
          <c:order val="0"/>
          <c:tx>
            <c:strRef>
              <c:f>Sheet1!$B$1</c:f>
              <c:strCache>
                <c:ptCount val="1"/>
                <c:pt idx="0">
                  <c:v/>
                </c:pt>
              </c:strCache>
            </c:strRef>
          </c:tx>
          <c:spPr>
            <a:solidFill>
              <a:srgbClr val="5B9BD5"/>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943.28</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1260.31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2022年</c:v>
                </c:pt>
                <c:pt idx="1">
                  <c:v>2021年</c:v>
                </c:pt>
              </c:strCache>
            </c:strRef>
          </c:cat>
          <c:val>
            <c:numRef>
              <c:f>Sheet1!$B$2:$B$3</c:f>
              <c:numCache>
                <c:formatCode>General</c:formatCode>
                <c:ptCount val="2"/>
                <c:pt idx="0">
                  <c:v>943.28</c:v>
                </c:pt>
                <c:pt idx="1">
                  <c:v>1260.31</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Pt>
            <c:idx val="2"/>
            <c:bubble3D val="0"/>
            <c:spPr>
              <a:solidFill>
                <a:srgbClr val="A5A5A5"/>
              </a:solidFill>
              <a:ln w="19050">
                <a:solidFill>
                  <a:sysClr val="window" lastClr="FFFFFF"/>
                </a:solidFill>
              </a:ln>
              <a:effectLst/>
            </c:spPr>
          </c:dPt>
          <c:dLbls>
            <c:dLbl>
              <c:idx val="0"/>
              <c:layout>
                <c:manualLayout>
                  <c:x val="0.247429201485801"/>
                  <c:y val="-0.08537764327485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社会保障和就业,</a:t>
                    </a:r>
                    <a:r>
                      <a:rPr lang="en-US" altLang="zh-CN"/>
                      <a:t>885.09</a:t>
                    </a:r>
                    <a:r>
                      <a:t>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5200642054575"/>
                      <c:h val="0.22794591113973"/>
                    </c:manualLayout>
                  </c15:layout>
                </c:ext>
              </c:extLst>
            </c:dLbl>
            <c:dLbl>
              <c:idx val="1"/>
              <c:layout>
                <c:manualLayout>
                  <c:x val="-0.166198881394369"/>
                  <c:y val="0.0484911887607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卫生健康支出, </a:t>
                    </a:r>
                    <a:r>
                      <a:rPr lang="en-US" altLang="zh-CN"/>
                      <a:t>27.78</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45332848618961"/>
                  <c:y val="0.01547987616099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住房保障支出, </a:t>
                    </a:r>
                    <a:r>
                      <a:rPr lang="en-US" altLang="zh-CN"/>
                      <a:t>30.41</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1206.5</c:v>
                </c:pt>
                <c:pt idx="1">
                  <c:v>22.65</c:v>
                </c:pt>
                <c:pt idx="2">
                  <c:v>31.14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96919014084507"/>
          <c:y val="0.0082304526748971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Lbls>
            <c:dLbl>
              <c:idx val="0"/>
              <c:layout>
                <c:manualLayout>
                  <c:x val="0.211907198448819"/>
                  <c:y val="-0.109595959595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公务用车购置及运行维护费, </a:t>
                    </a:r>
                    <a:r>
                      <a:rPr lang="en-US" altLang="zh-CN"/>
                      <a:t>3.43</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99632487626621"/>
                  <c:y val="0.08616452154008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t>公务接待费, </a:t>
                    </a:r>
                    <a:r>
                      <a:rPr lang="en-US" altLang="zh-CN"/>
                      <a:t>0.42</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3.35</c:v>
                </c:pt>
                <c:pt idx="1">
                  <c:v>0.5</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2021-09-10T11:29:00Z</dcterms:created>
  <dc:creator>Administrator</dc:creator>
  <cp:lastModifiedBy>海盗饭团</cp:lastModifiedBy>
  <cp:lastPrinted>2023-09-27T06:09:00Z</cp:lastPrinted>
  <dcterms:modified xsi:type="dcterms:W3CDTF">2023-09-27T06:49:00Z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7E76A03B1D314C1187021B6606AE2C47</vt:lpwstr>
  </property>
</Properties>
</file>